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F0EEF" w14:textId="43CB9F40" w:rsidR="00880A3D" w:rsidRPr="004A20B8" w:rsidRDefault="001A7601" w:rsidP="00037726">
      <w:pPr>
        <w:spacing w:after="0"/>
        <w:rPr>
          <w:rFonts w:ascii="Calibri" w:eastAsia="Calibri" w:hAnsi="Calibri" w:cs="Times New Roman"/>
          <w:b/>
          <w:color w:val="244061"/>
          <w:sz w:val="28"/>
          <w:szCs w:val="28"/>
          <w:lang w:val="en-GB"/>
        </w:rPr>
      </w:pPr>
      <w:r w:rsidRPr="004A20B8">
        <w:rPr>
          <w:rFonts w:ascii="Calibri" w:eastAsia="Calibri" w:hAnsi="Calibri" w:cs="Times New Roman"/>
          <w:noProof/>
          <w:lang w:eastAsia="uk-UA"/>
        </w:rPr>
        <w:drawing>
          <wp:anchor distT="0" distB="0" distL="114300" distR="114300" simplePos="0" relativeHeight="251662336" behindDoc="0" locked="0" layoutInCell="1" allowOverlap="1" wp14:anchorId="6B27A1C5" wp14:editId="6A75E7F1">
            <wp:simplePos x="0" y="0"/>
            <wp:positionH relativeFrom="column">
              <wp:posOffset>4980305</wp:posOffset>
            </wp:positionH>
            <wp:positionV relativeFrom="paragraph">
              <wp:posOffset>12700</wp:posOffset>
            </wp:positionV>
            <wp:extent cx="1143000" cy="7112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11200"/>
                    </a:xfrm>
                    <a:prstGeom prst="rect">
                      <a:avLst/>
                    </a:prstGeom>
                    <a:noFill/>
                  </pic:spPr>
                </pic:pic>
              </a:graphicData>
            </a:graphic>
            <wp14:sizeRelH relativeFrom="margin">
              <wp14:pctWidth>0</wp14:pctWidth>
            </wp14:sizeRelH>
            <wp14:sizeRelV relativeFrom="margin">
              <wp14:pctHeight>0</wp14:pctHeight>
            </wp14:sizeRelV>
          </wp:anchor>
        </w:drawing>
      </w:r>
      <w:r w:rsidR="009F0522" w:rsidRPr="004A20B8">
        <w:rPr>
          <w:rFonts w:ascii="Calibri" w:eastAsia="Calibri" w:hAnsi="Calibri" w:cs="Times New Roman"/>
          <w:b/>
          <w:color w:val="244061"/>
          <w:sz w:val="28"/>
          <w:szCs w:val="28"/>
          <w:lang w:val="en-GB"/>
        </w:rPr>
        <w:t xml:space="preserve">EMPOWERING LOCAL ECONOMIC OPPORTUNITIES FOR SUSTAINABLE GROWTH, GORI, GEORGIA </w:t>
      </w:r>
    </w:p>
    <w:p w14:paraId="414C9907" w14:textId="77777777" w:rsidR="001A7601" w:rsidRPr="004A20B8" w:rsidRDefault="001A7601" w:rsidP="001A7601">
      <w:pPr>
        <w:tabs>
          <w:tab w:val="left" w:pos="7155"/>
        </w:tabs>
        <w:spacing w:after="0"/>
        <w:rPr>
          <w:rFonts w:ascii="Calibri" w:eastAsia="Calibri" w:hAnsi="Calibri" w:cs="Times New Roman"/>
          <w:i/>
          <w:color w:val="244061"/>
          <w:sz w:val="32"/>
          <w:szCs w:val="32"/>
          <w:lang w:val="en-GB"/>
        </w:rPr>
      </w:pPr>
      <w:r w:rsidRPr="004A20B8">
        <w:rPr>
          <w:rFonts w:ascii="Calibri" w:eastAsia="Calibri" w:hAnsi="Calibri" w:cs="Times New Roman"/>
          <w:i/>
          <w:color w:val="244061"/>
          <w:sz w:val="32"/>
          <w:szCs w:val="32"/>
          <w:lang w:val="en-GB"/>
        </w:rPr>
        <w:t>Mayors for E</w:t>
      </w:r>
      <w:r w:rsidR="00F372FA" w:rsidRPr="004A20B8">
        <w:rPr>
          <w:rFonts w:ascii="Calibri" w:eastAsia="Calibri" w:hAnsi="Calibri" w:cs="Times New Roman"/>
          <w:i/>
          <w:color w:val="244061"/>
          <w:sz w:val="32"/>
          <w:szCs w:val="32"/>
          <w:lang w:val="en-GB"/>
        </w:rPr>
        <w:t>conomic Growth (M4EG) Pioneer Project</w:t>
      </w:r>
    </w:p>
    <w:p w14:paraId="32976FD8" w14:textId="77777777" w:rsidR="001A7601" w:rsidRPr="004A20B8" w:rsidRDefault="001A7601" w:rsidP="001A7601">
      <w:pPr>
        <w:spacing w:after="0"/>
        <w:rPr>
          <w:rFonts w:ascii="Calibri" w:eastAsia="Calibri" w:hAnsi="Calibri" w:cs="Times New Roman"/>
          <w:b/>
          <w:color w:val="244061"/>
          <w:sz w:val="32"/>
          <w:lang w:val="en-GB"/>
        </w:rPr>
      </w:pPr>
    </w:p>
    <w:p w14:paraId="76AA8430" w14:textId="77777777" w:rsidR="001A7601" w:rsidRPr="004A20B8" w:rsidRDefault="001A7601" w:rsidP="001A7601">
      <w:pPr>
        <w:spacing w:after="0"/>
        <w:rPr>
          <w:rFonts w:ascii="Calibri" w:eastAsia="Calibri" w:hAnsi="Calibri" w:cs="Times New Roman"/>
          <w:b/>
          <w:color w:val="244061"/>
          <w:sz w:val="32"/>
          <w:lang w:val="en-GB"/>
        </w:rPr>
      </w:pPr>
      <w:r w:rsidRPr="004A20B8">
        <w:rPr>
          <w:rFonts w:ascii="Calibri" w:eastAsia="Calibri" w:hAnsi="Calibri" w:cs="Times New Roman"/>
          <w:b/>
          <w:color w:val="244061"/>
          <w:sz w:val="32"/>
          <w:lang w:val="en-GB"/>
        </w:rPr>
        <w:t>PROJECT FACTSHEET</w:t>
      </w:r>
    </w:p>
    <w:p w14:paraId="069E13A9" w14:textId="77777777" w:rsidR="001A7601" w:rsidRPr="004A20B8" w:rsidRDefault="001A7601" w:rsidP="001A7601">
      <w:pPr>
        <w:spacing w:after="0"/>
        <w:rPr>
          <w:rFonts w:ascii="Calibri" w:eastAsia="Calibri" w:hAnsi="Calibri" w:cs="Times New Roman"/>
          <w:b/>
          <w:color w:val="244061"/>
          <w:sz w:val="28"/>
          <w:lang w:val="en-GB"/>
        </w:rPr>
      </w:pPr>
    </w:p>
    <w:tbl>
      <w:tblPr>
        <w:tblStyle w:val="-51"/>
        <w:tblW w:w="10490" w:type="dxa"/>
        <w:tblInd w:w="-601" w:type="dxa"/>
        <w:tblLook w:val="04A0" w:firstRow="1" w:lastRow="0" w:firstColumn="1" w:lastColumn="0" w:noHBand="0" w:noVBand="1"/>
      </w:tblPr>
      <w:tblGrid>
        <w:gridCol w:w="10490"/>
      </w:tblGrid>
      <w:tr w:rsidR="001A7601" w:rsidRPr="004A20B8" w14:paraId="3125C8C1" w14:textId="77777777" w:rsidTr="001A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4BACC6" w:themeColor="accent5"/>
              <w:left w:val="single" w:sz="8" w:space="0" w:color="4BACC6" w:themeColor="accent5"/>
              <w:bottom w:val="nil"/>
              <w:right w:val="single" w:sz="8" w:space="0" w:color="4BACC6" w:themeColor="accent5"/>
            </w:tcBorders>
            <w:hideMark/>
          </w:tcPr>
          <w:p w14:paraId="7964F55C" w14:textId="77777777" w:rsidR="001A7601" w:rsidRPr="004A20B8" w:rsidRDefault="001A7601" w:rsidP="001A7601">
            <w:pPr>
              <w:rPr>
                <w:sz w:val="28"/>
                <w:lang w:val="en-GB"/>
              </w:rPr>
            </w:pPr>
            <w:r w:rsidRPr="004A20B8">
              <w:rPr>
                <w:sz w:val="28"/>
                <w:lang w:val="en-GB"/>
              </w:rPr>
              <w:t>The project in a nutshell</w:t>
            </w:r>
          </w:p>
        </w:tc>
      </w:tr>
      <w:tr w:rsidR="001A7601" w:rsidRPr="004A20B8" w14:paraId="5B9E2CF9" w14:textId="77777777" w:rsidTr="001A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hideMark/>
          </w:tcPr>
          <w:p w14:paraId="1193512F" w14:textId="3852D756" w:rsidR="001A7601" w:rsidRPr="004A20B8" w:rsidRDefault="00B00A3E" w:rsidP="001A7601">
            <w:pPr>
              <w:rPr>
                <w:b w:val="0"/>
                <w:lang w:val="en-GB"/>
              </w:rPr>
            </w:pPr>
            <w:r>
              <w:rPr>
                <w:i/>
                <w:lang w:val="en-GB"/>
              </w:rPr>
              <w:t xml:space="preserve">Timeframe: </w:t>
            </w:r>
            <w:r w:rsidR="00150DF7" w:rsidRPr="004A20B8">
              <w:rPr>
                <w:b w:val="0"/>
                <w:lang w:val="en-GB"/>
              </w:rPr>
              <w:t>2018-2020</w:t>
            </w:r>
          </w:p>
        </w:tc>
      </w:tr>
      <w:tr w:rsidR="001A7601" w:rsidRPr="004A20B8" w14:paraId="7998B380" w14:textId="77777777" w:rsidTr="001A7601">
        <w:tc>
          <w:tcPr>
            <w:cnfStyle w:val="001000000000" w:firstRow="0" w:lastRow="0" w:firstColumn="1" w:lastColumn="0" w:oddVBand="0" w:evenVBand="0" w:oddHBand="0" w:evenHBand="0" w:firstRowFirstColumn="0" w:firstRowLastColumn="0" w:lastRowFirstColumn="0" w:lastRowLastColumn="0"/>
            <w:tcW w:w="10490" w:type="dxa"/>
            <w:tcBorders>
              <w:top w:val="nil"/>
              <w:left w:val="single" w:sz="8" w:space="0" w:color="4BACC6" w:themeColor="accent5"/>
              <w:bottom w:val="nil"/>
              <w:right w:val="single" w:sz="8" w:space="0" w:color="4BACC6" w:themeColor="accent5"/>
            </w:tcBorders>
            <w:hideMark/>
          </w:tcPr>
          <w:p w14:paraId="5E302F70" w14:textId="241E3658" w:rsidR="001A7601" w:rsidRPr="004A20B8" w:rsidRDefault="008772BF" w:rsidP="00B00A3E">
            <w:pPr>
              <w:rPr>
                <w:b w:val="0"/>
                <w:lang w:val="en-GB"/>
              </w:rPr>
            </w:pPr>
            <w:r w:rsidRPr="004A20B8">
              <w:rPr>
                <w:i/>
                <w:lang w:val="en-GB"/>
              </w:rPr>
              <w:t>B</w:t>
            </w:r>
            <w:r w:rsidR="00B00A3E">
              <w:rPr>
                <w:i/>
                <w:lang w:val="en-GB"/>
              </w:rPr>
              <w:t xml:space="preserve">udget: </w:t>
            </w:r>
            <w:r w:rsidR="00B00A3E">
              <w:rPr>
                <w:b w:val="0"/>
                <w:lang w:val="en-GB"/>
              </w:rPr>
              <w:t>EUR 695,</w:t>
            </w:r>
            <w:r w:rsidR="006773B6" w:rsidRPr="004A20B8">
              <w:rPr>
                <w:b w:val="0"/>
                <w:lang w:val="en-GB"/>
              </w:rPr>
              <w:t>997 (EU contribution</w:t>
            </w:r>
            <w:r w:rsidR="009F20FA">
              <w:rPr>
                <w:b w:val="0"/>
                <w:lang w:val="en-GB"/>
              </w:rPr>
              <w:t xml:space="preserve"> - </w:t>
            </w:r>
            <w:r w:rsidR="00B00A3E">
              <w:rPr>
                <w:b w:val="0"/>
                <w:lang w:val="en-GB"/>
              </w:rPr>
              <w:t>EUR</w:t>
            </w:r>
            <w:r w:rsidR="00C45CEE" w:rsidRPr="004A20B8">
              <w:rPr>
                <w:b w:val="0"/>
                <w:lang w:val="en-GB"/>
              </w:rPr>
              <w:t xml:space="preserve"> </w:t>
            </w:r>
            <w:r w:rsidR="006773B6" w:rsidRPr="004A20B8">
              <w:rPr>
                <w:b w:val="0"/>
                <w:lang w:val="en-GB"/>
              </w:rPr>
              <w:t>600,000)</w:t>
            </w:r>
          </w:p>
        </w:tc>
      </w:tr>
      <w:tr w:rsidR="001A7601" w:rsidRPr="004A20B8" w14:paraId="7E0B93E5" w14:textId="77777777" w:rsidTr="001A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hideMark/>
          </w:tcPr>
          <w:p w14:paraId="722B3134" w14:textId="437F4E07" w:rsidR="001A7601" w:rsidRPr="004A20B8" w:rsidRDefault="00EC57E5" w:rsidP="00B00A3E">
            <w:pPr>
              <w:jc w:val="both"/>
              <w:rPr>
                <w:b w:val="0"/>
                <w:lang w:val="en-GB"/>
              </w:rPr>
            </w:pPr>
            <w:r w:rsidRPr="004A20B8">
              <w:rPr>
                <w:i/>
                <w:lang w:val="en-GB"/>
              </w:rPr>
              <w:t>P</w:t>
            </w:r>
            <w:r w:rsidR="001A7601" w:rsidRPr="004A20B8">
              <w:rPr>
                <w:i/>
                <w:lang w:val="en-GB"/>
              </w:rPr>
              <w:t>artners:</w:t>
            </w:r>
            <w:r w:rsidR="00B00A3E">
              <w:rPr>
                <w:b w:val="0"/>
                <w:lang w:val="en-GB"/>
              </w:rPr>
              <w:t xml:space="preserve"> </w:t>
            </w:r>
            <w:r w:rsidR="00243EFE" w:rsidRPr="004A20B8">
              <w:rPr>
                <w:b w:val="0"/>
                <w:lang w:val="en-GB"/>
              </w:rPr>
              <w:t xml:space="preserve">Gori </w:t>
            </w:r>
            <w:r w:rsidR="009F20FA">
              <w:rPr>
                <w:b w:val="0"/>
                <w:lang w:val="en-GB"/>
              </w:rPr>
              <w:t>M</w:t>
            </w:r>
            <w:r w:rsidR="00243EFE" w:rsidRPr="004A20B8">
              <w:rPr>
                <w:b w:val="0"/>
                <w:lang w:val="en-GB"/>
              </w:rPr>
              <w:t>unicipality</w:t>
            </w:r>
          </w:p>
        </w:tc>
      </w:tr>
      <w:tr w:rsidR="001A7601" w:rsidRPr="004A20B8" w14:paraId="2EBC65CA" w14:textId="77777777" w:rsidTr="001A7601">
        <w:tc>
          <w:tcPr>
            <w:cnfStyle w:val="001000000000" w:firstRow="0" w:lastRow="0" w:firstColumn="1" w:lastColumn="0" w:oddVBand="0" w:evenVBand="0" w:oddHBand="0" w:evenHBand="0" w:firstRowFirstColumn="0" w:firstRowLastColumn="0" w:lastRowFirstColumn="0" w:lastRowLastColumn="0"/>
            <w:tcW w:w="10490" w:type="dxa"/>
            <w:tcBorders>
              <w:top w:val="nil"/>
              <w:left w:val="single" w:sz="8" w:space="0" w:color="4BACC6" w:themeColor="accent5"/>
              <w:bottom w:val="nil"/>
              <w:right w:val="single" w:sz="8" w:space="0" w:color="4BACC6" w:themeColor="accent5"/>
            </w:tcBorders>
            <w:hideMark/>
          </w:tcPr>
          <w:p w14:paraId="1D35A9B6" w14:textId="69A5776D" w:rsidR="001A7601" w:rsidRPr="004A20B8" w:rsidRDefault="001A7601" w:rsidP="00B00A3E">
            <w:pPr>
              <w:rPr>
                <w:b w:val="0"/>
                <w:lang w:val="en-GB"/>
              </w:rPr>
            </w:pPr>
            <w:r w:rsidRPr="004A20B8">
              <w:rPr>
                <w:i/>
                <w:lang w:val="en-GB"/>
              </w:rPr>
              <w:t>Geographic coverage:</w:t>
            </w:r>
            <w:r w:rsidR="00B00A3E">
              <w:rPr>
                <w:b w:val="0"/>
                <w:i/>
                <w:lang w:val="en-GB"/>
              </w:rPr>
              <w:t xml:space="preserve"> </w:t>
            </w:r>
            <w:r w:rsidR="006B2C6B" w:rsidRPr="004A20B8">
              <w:rPr>
                <w:b w:val="0"/>
                <w:lang w:val="en-GB"/>
              </w:rPr>
              <w:t xml:space="preserve">Gori, </w:t>
            </w:r>
            <w:r w:rsidR="00B00A3E">
              <w:rPr>
                <w:b w:val="0"/>
                <w:lang w:val="en-GB"/>
              </w:rPr>
              <w:t xml:space="preserve">Shida </w:t>
            </w:r>
            <w:r w:rsidR="006B2C6B" w:rsidRPr="004A20B8">
              <w:rPr>
                <w:b w:val="0"/>
                <w:lang w:val="en-GB"/>
              </w:rPr>
              <w:t>(‘</w:t>
            </w:r>
            <w:r w:rsidR="00B00A3E">
              <w:rPr>
                <w:b w:val="0"/>
                <w:lang w:val="en-GB"/>
              </w:rPr>
              <w:t>Inner</w:t>
            </w:r>
            <w:r w:rsidR="006B2C6B" w:rsidRPr="004A20B8">
              <w:rPr>
                <w:b w:val="0"/>
                <w:lang w:val="en-GB"/>
              </w:rPr>
              <w:t>’) Kartli, Georgia</w:t>
            </w:r>
          </w:p>
        </w:tc>
      </w:tr>
      <w:tr w:rsidR="001A7601" w:rsidRPr="004A20B8" w14:paraId="7F60BFB8" w14:textId="77777777" w:rsidTr="001A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hideMark/>
          </w:tcPr>
          <w:p w14:paraId="0C99B27B" w14:textId="5C24D4DA" w:rsidR="000979AE" w:rsidRPr="004A20B8" w:rsidRDefault="001A7601" w:rsidP="00B00A3E">
            <w:pPr>
              <w:rPr>
                <w:b w:val="0"/>
                <w:lang w:val="en-GB"/>
              </w:rPr>
            </w:pPr>
            <w:r w:rsidRPr="004A20B8">
              <w:rPr>
                <w:i/>
                <w:lang w:val="en-GB"/>
              </w:rPr>
              <w:t>Target groups:</w:t>
            </w:r>
            <w:r w:rsidR="00B00A3E">
              <w:rPr>
                <w:b w:val="0"/>
                <w:i/>
                <w:lang w:val="en-GB"/>
              </w:rPr>
              <w:t xml:space="preserve"> </w:t>
            </w:r>
            <w:r w:rsidR="00C11776" w:rsidRPr="004A20B8">
              <w:rPr>
                <w:b w:val="0"/>
                <w:lang w:val="en-GB"/>
              </w:rPr>
              <w:t xml:space="preserve">Craftsmen, </w:t>
            </w:r>
            <w:r w:rsidR="00B00A3E">
              <w:rPr>
                <w:b w:val="0"/>
                <w:lang w:val="en-GB"/>
              </w:rPr>
              <w:t xml:space="preserve">SMEs </w:t>
            </w:r>
            <w:r w:rsidR="00C11776" w:rsidRPr="004A20B8">
              <w:rPr>
                <w:b w:val="0"/>
                <w:lang w:val="en-GB"/>
              </w:rPr>
              <w:t xml:space="preserve">in </w:t>
            </w:r>
            <w:r w:rsidR="00B00A3E">
              <w:rPr>
                <w:b w:val="0"/>
                <w:lang w:val="en-GB"/>
              </w:rPr>
              <w:t xml:space="preserve">the </w:t>
            </w:r>
            <w:r w:rsidR="00C11776" w:rsidRPr="004A20B8">
              <w:rPr>
                <w:b w:val="0"/>
                <w:lang w:val="en-GB"/>
              </w:rPr>
              <w:t xml:space="preserve">tourism sector, </w:t>
            </w:r>
            <w:r w:rsidR="00B22D18" w:rsidRPr="004A20B8">
              <w:rPr>
                <w:b w:val="0"/>
                <w:lang w:val="en-GB"/>
              </w:rPr>
              <w:t>local entrepreneurs</w:t>
            </w:r>
            <w:r w:rsidR="00B00A3E">
              <w:rPr>
                <w:b w:val="0"/>
                <w:lang w:val="en-GB"/>
              </w:rPr>
              <w:t xml:space="preserve">, civil society organizations, </w:t>
            </w:r>
            <w:r w:rsidR="00B22D18" w:rsidRPr="004A20B8">
              <w:rPr>
                <w:b w:val="0"/>
                <w:lang w:val="en-GB"/>
              </w:rPr>
              <w:t xml:space="preserve">students and </w:t>
            </w:r>
            <w:r w:rsidR="00B00A3E">
              <w:rPr>
                <w:b w:val="0"/>
                <w:lang w:val="en-GB"/>
              </w:rPr>
              <w:t xml:space="preserve">young people </w:t>
            </w:r>
            <w:r w:rsidR="00C11776" w:rsidRPr="004A20B8">
              <w:rPr>
                <w:b w:val="0"/>
                <w:lang w:val="en-GB"/>
              </w:rPr>
              <w:t xml:space="preserve">interested in </w:t>
            </w:r>
            <w:r w:rsidR="00B00A3E">
              <w:rPr>
                <w:b w:val="0"/>
                <w:lang w:val="en-GB"/>
              </w:rPr>
              <w:t xml:space="preserve">the </w:t>
            </w:r>
            <w:r w:rsidR="00C11776" w:rsidRPr="004A20B8">
              <w:rPr>
                <w:b w:val="0"/>
                <w:lang w:val="en-GB"/>
              </w:rPr>
              <w:t xml:space="preserve">tourism sector </w:t>
            </w:r>
          </w:p>
        </w:tc>
      </w:tr>
    </w:tbl>
    <w:p w14:paraId="3DA7E809" w14:textId="77777777" w:rsidR="001A7601" w:rsidRPr="004A20B8" w:rsidRDefault="001A7601" w:rsidP="001A7601">
      <w:pPr>
        <w:ind w:left="-567" w:right="-142"/>
        <w:jc w:val="both"/>
        <w:rPr>
          <w:rFonts w:ascii="Calibri" w:eastAsia="Calibri" w:hAnsi="Calibri" w:cs="Times New Roman"/>
          <w:b/>
          <w:color w:val="244061"/>
          <w:sz w:val="28"/>
          <w:szCs w:val="28"/>
          <w:lang w:val="en-GB"/>
        </w:rPr>
      </w:pPr>
    </w:p>
    <w:p w14:paraId="6D7D7436" w14:textId="77777777" w:rsidR="00BC62A5" w:rsidRPr="004A20B8" w:rsidRDefault="001A7601" w:rsidP="00BC62A5">
      <w:pPr>
        <w:ind w:left="-567" w:right="-142"/>
        <w:jc w:val="both"/>
        <w:rPr>
          <w:rFonts w:ascii="Calibri" w:eastAsia="Calibri" w:hAnsi="Calibri" w:cs="Times New Roman"/>
          <w:b/>
          <w:color w:val="244061"/>
          <w:sz w:val="28"/>
          <w:szCs w:val="28"/>
          <w:lang w:val="en-GB"/>
        </w:rPr>
      </w:pPr>
      <w:r w:rsidRPr="004A20B8">
        <w:rPr>
          <w:rFonts w:ascii="Calibri" w:eastAsia="Calibri" w:hAnsi="Calibri" w:cs="Times New Roman"/>
          <w:b/>
          <w:color w:val="244061"/>
          <w:sz w:val="28"/>
          <w:szCs w:val="28"/>
          <w:lang w:val="en-GB"/>
        </w:rPr>
        <w:t>CONTEXT</w:t>
      </w:r>
    </w:p>
    <w:p w14:paraId="00E03EBF" w14:textId="77777777" w:rsidR="00B65C63" w:rsidRPr="004A20B8" w:rsidRDefault="00B65C63" w:rsidP="00A678DA">
      <w:pPr>
        <w:ind w:left="-567" w:right="-142"/>
        <w:jc w:val="both"/>
        <w:rPr>
          <w:rFonts w:ascii="Calibri" w:eastAsia="Calibri" w:hAnsi="Calibri" w:cs="Arial"/>
          <w:lang w:val="en-GB"/>
        </w:rPr>
      </w:pPr>
    </w:p>
    <w:p w14:paraId="35D3D411" w14:textId="37ADED2A" w:rsidR="00B65C63" w:rsidRPr="004A20B8" w:rsidRDefault="00D4317E" w:rsidP="00B65C63">
      <w:pPr>
        <w:ind w:left="-567" w:right="-142"/>
        <w:jc w:val="both"/>
        <w:rPr>
          <w:rFonts w:ascii="Calibri" w:eastAsia="Calibri" w:hAnsi="Calibri" w:cs="Arial"/>
          <w:lang w:val="en-GB"/>
        </w:rPr>
      </w:pPr>
      <w:r w:rsidRPr="004A20B8">
        <w:rPr>
          <w:rFonts w:ascii="Calibri" w:eastAsia="Calibri" w:hAnsi="Calibri" w:cs="Arial"/>
          <w:noProof/>
          <w:lang w:eastAsia="uk-UA"/>
        </w:rPr>
        <w:drawing>
          <wp:anchor distT="0" distB="0" distL="114300" distR="114300" simplePos="0" relativeHeight="251672576" behindDoc="1" locked="0" layoutInCell="1" allowOverlap="1" wp14:anchorId="484FFF9D" wp14:editId="400DF590">
            <wp:simplePos x="0" y="0"/>
            <wp:positionH relativeFrom="column">
              <wp:posOffset>-360045</wp:posOffset>
            </wp:positionH>
            <wp:positionV relativeFrom="paragraph">
              <wp:posOffset>-2540</wp:posOffset>
            </wp:positionV>
            <wp:extent cx="2176145" cy="1420495"/>
            <wp:effectExtent l="0" t="0" r="0" b="8255"/>
            <wp:wrapTight wrapText="bothSides">
              <wp:wrapPolygon edited="0">
                <wp:start x="0" y="0"/>
                <wp:lineTo x="0" y="21436"/>
                <wp:lineTo x="21367" y="21436"/>
                <wp:lineTo x="2136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420495"/>
                    </a:xfrm>
                    <a:prstGeom prst="rect">
                      <a:avLst/>
                    </a:prstGeom>
                    <a:noFill/>
                  </pic:spPr>
                </pic:pic>
              </a:graphicData>
            </a:graphic>
            <wp14:sizeRelH relativeFrom="page">
              <wp14:pctWidth>0</wp14:pctWidth>
            </wp14:sizeRelH>
            <wp14:sizeRelV relativeFrom="page">
              <wp14:pctHeight>0</wp14:pctHeight>
            </wp14:sizeRelV>
          </wp:anchor>
        </w:drawing>
      </w:r>
      <w:r w:rsidR="00B00A3E">
        <w:rPr>
          <w:rFonts w:ascii="Calibri" w:eastAsia="Calibri" w:hAnsi="Calibri" w:cs="Arial"/>
          <w:lang w:val="en-GB"/>
        </w:rPr>
        <w:t xml:space="preserve">The municipality of </w:t>
      </w:r>
      <w:r w:rsidR="00B65C63" w:rsidRPr="004A20B8">
        <w:rPr>
          <w:rFonts w:ascii="Calibri" w:eastAsia="Calibri" w:hAnsi="Calibri" w:cs="Arial"/>
          <w:lang w:val="en-GB"/>
        </w:rPr>
        <w:t>Gori is located in the central part of eastern Georgia</w:t>
      </w:r>
      <w:r w:rsidR="00DD64E6">
        <w:rPr>
          <w:rFonts w:ascii="Calibri" w:eastAsia="Calibri" w:hAnsi="Calibri" w:cs="Arial"/>
          <w:lang w:val="en-GB"/>
        </w:rPr>
        <w:t>. It</w:t>
      </w:r>
      <w:r w:rsidR="00B65C63" w:rsidRPr="004A20B8">
        <w:rPr>
          <w:rFonts w:ascii="Calibri" w:eastAsia="Calibri" w:hAnsi="Calibri" w:cs="Arial"/>
          <w:lang w:val="en-GB"/>
        </w:rPr>
        <w:t xml:space="preserve"> </w:t>
      </w:r>
      <w:r w:rsidR="00B00A3E">
        <w:rPr>
          <w:rFonts w:ascii="Calibri" w:eastAsia="Calibri" w:hAnsi="Calibri" w:cs="Arial"/>
          <w:lang w:val="en-GB"/>
        </w:rPr>
        <w:t>has a surface area of</w:t>
      </w:r>
      <w:r w:rsidR="00B65C63" w:rsidRPr="004A20B8">
        <w:rPr>
          <w:rFonts w:ascii="Calibri" w:eastAsia="Calibri" w:hAnsi="Calibri" w:cs="Arial"/>
          <w:lang w:val="en-GB"/>
        </w:rPr>
        <w:t xml:space="preserve"> 2,327 km</w:t>
      </w:r>
      <w:r w:rsidR="00B65C63" w:rsidRPr="00B00A3E">
        <w:rPr>
          <w:rFonts w:ascii="Calibri" w:eastAsia="Calibri" w:hAnsi="Calibri" w:cs="Arial"/>
          <w:vertAlign w:val="superscript"/>
          <w:lang w:val="en-GB"/>
        </w:rPr>
        <w:t>2</w:t>
      </w:r>
      <w:r w:rsidR="00B00A3E">
        <w:rPr>
          <w:rFonts w:ascii="Calibri" w:eastAsia="Calibri" w:hAnsi="Calibri" w:cs="Arial"/>
          <w:lang w:val="en-GB"/>
        </w:rPr>
        <w:t xml:space="preserve"> and a</w:t>
      </w:r>
      <w:r w:rsidR="00B65C63" w:rsidRPr="004A20B8">
        <w:rPr>
          <w:rFonts w:ascii="Calibri" w:eastAsia="Calibri" w:hAnsi="Calibri" w:cs="Arial"/>
          <w:lang w:val="en-GB"/>
        </w:rPr>
        <w:t xml:space="preserve"> population </w:t>
      </w:r>
      <w:r w:rsidR="00B00A3E">
        <w:rPr>
          <w:rFonts w:ascii="Calibri" w:eastAsia="Calibri" w:hAnsi="Calibri" w:cs="Arial"/>
          <w:lang w:val="en-GB"/>
        </w:rPr>
        <w:t xml:space="preserve">of around </w:t>
      </w:r>
      <w:r w:rsidR="00B65C63" w:rsidRPr="004A20B8">
        <w:rPr>
          <w:rFonts w:ascii="Calibri" w:eastAsia="Calibri" w:hAnsi="Calibri" w:cs="Arial"/>
          <w:lang w:val="en-GB"/>
        </w:rPr>
        <w:t>144,000</w:t>
      </w:r>
      <w:r w:rsidR="005B20BD">
        <w:rPr>
          <w:rFonts w:ascii="Calibri" w:eastAsia="Calibri" w:hAnsi="Calibri" w:cs="Arial"/>
          <w:lang w:val="en-GB"/>
        </w:rPr>
        <w:t xml:space="preserve"> inhabitants</w:t>
      </w:r>
      <w:r w:rsidR="00B65C63" w:rsidRPr="004A20B8">
        <w:rPr>
          <w:rFonts w:ascii="Calibri" w:eastAsia="Calibri" w:hAnsi="Calibri" w:cs="Arial"/>
          <w:lang w:val="en-GB"/>
        </w:rPr>
        <w:t>.</w:t>
      </w:r>
      <w:r w:rsidRPr="004A20B8">
        <w:rPr>
          <w:rFonts w:ascii="Calibri" w:eastAsia="Calibri" w:hAnsi="Calibri" w:cs="Arial"/>
          <w:lang w:val="en-GB"/>
        </w:rPr>
        <w:t xml:space="preserve"> </w:t>
      </w:r>
      <w:r w:rsidR="00B00A3E">
        <w:rPr>
          <w:rFonts w:ascii="Calibri" w:eastAsia="Calibri" w:hAnsi="Calibri" w:cs="Arial"/>
          <w:lang w:val="en-GB"/>
        </w:rPr>
        <w:t xml:space="preserve">Its </w:t>
      </w:r>
      <w:r w:rsidRPr="004A20B8">
        <w:rPr>
          <w:rFonts w:ascii="Calibri" w:eastAsia="Calibri" w:hAnsi="Calibri" w:cs="Arial"/>
          <w:lang w:val="en-GB"/>
        </w:rPr>
        <w:t xml:space="preserve">economy </w:t>
      </w:r>
      <w:r w:rsidR="00B00A3E">
        <w:rPr>
          <w:rFonts w:ascii="Calibri" w:eastAsia="Calibri" w:hAnsi="Calibri" w:cs="Arial"/>
          <w:lang w:val="en-GB"/>
        </w:rPr>
        <w:t xml:space="preserve">mostly consists of </w:t>
      </w:r>
      <w:r w:rsidRPr="004A20B8">
        <w:rPr>
          <w:rFonts w:ascii="Calibri" w:eastAsia="Calibri" w:hAnsi="Calibri" w:cs="Arial"/>
          <w:lang w:val="en-GB"/>
        </w:rPr>
        <w:t>agriculture, industrial production, construction, transport, trade, management, education, health care and other services.</w:t>
      </w:r>
    </w:p>
    <w:p w14:paraId="1A7B703D" w14:textId="5AB091F5" w:rsidR="00B65C63" w:rsidRPr="004A20B8" w:rsidRDefault="00D4317E" w:rsidP="00B65C63">
      <w:pPr>
        <w:ind w:left="-567" w:right="-142"/>
        <w:jc w:val="both"/>
        <w:rPr>
          <w:rFonts w:ascii="Calibri" w:eastAsia="Calibri" w:hAnsi="Calibri" w:cs="Arial"/>
          <w:lang w:val="en-GB"/>
        </w:rPr>
      </w:pPr>
      <w:r w:rsidRPr="004A20B8">
        <w:rPr>
          <w:rFonts w:ascii="Calibri" w:eastAsia="Calibri" w:hAnsi="Calibri" w:cs="Arial"/>
          <w:lang w:val="en-GB"/>
        </w:rPr>
        <w:t xml:space="preserve">Gori </w:t>
      </w:r>
      <w:r w:rsidR="00B00A3E">
        <w:rPr>
          <w:rFonts w:ascii="Calibri" w:eastAsia="Calibri" w:hAnsi="Calibri" w:cs="Arial"/>
          <w:lang w:val="en-GB"/>
        </w:rPr>
        <w:t>m</w:t>
      </w:r>
      <w:r w:rsidRPr="004A20B8">
        <w:rPr>
          <w:rFonts w:ascii="Calibri" w:eastAsia="Calibri" w:hAnsi="Calibri" w:cs="Arial"/>
          <w:lang w:val="en-GB"/>
        </w:rPr>
        <w:t xml:space="preserve">unicipality </w:t>
      </w:r>
      <w:r w:rsidR="00B00A3E">
        <w:rPr>
          <w:rFonts w:ascii="Calibri" w:eastAsia="Calibri" w:hAnsi="Calibri" w:cs="Arial"/>
          <w:lang w:val="en-GB"/>
        </w:rPr>
        <w:t xml:space="preserve">comprises </w:t>
      </w:r>
      <w:r w:rsidRPr="004A20B8">
        <w:rPr>
          <w:rFonts w:ascii="Calibri" w:eastAsia="Calibri" w:hAnsi="Calibri" w:cs="Arial"/>
          <w:lang w:val="en-GB"/>
        </w:rPr>
        <w:t xml:space="preserve">2 cities, 22 communities and 143 villages. </w:t>
      </w:r>
      <w:r w:rsidR="00B00A3E">
        <w:rPr>
          <w:rFonts w:ascii="Calibri" w:eastAsia="Calibri" w:hAnsi="Calibri" w:cs="Arial"/>
          <w:lang w:val="en-GB"/>
        </w:rPr>
        <w:t xml:space="preserve">Its </w:t>
      </w:r>
      <w:r w:rsidR="007462F8" w:rsidRPr="004A20B8">
        <w:rPr>
          <w:rFonts w:ascii="Calibri" w:eastAsia="Calibri" w:hAnsi="Calibri" w:cs="Arial"/>
          <w:lang w:val="en-GB"/>
        </w:rPr>
        <w:t xml:space="preserve">administrative </w:t>
      </w:r>
      <w:r w:rsidR="00216A9E" w:rsidRPr="004A20B8">
        <w:rPr>
          <w:rFonts w:ascii="Calibri" w:eastAsia="Calibri" w:hAnsi="Calibri" w:cs="Arial"/>
          <w:lang w:val="en-GB"/>
        </w:rPr>
        <w:t>centre</w:t>
      </w:r>
      <w:r w:rsidR="007462F8" w:rsidRPr="004A20B8">
        <w:rPr>
          <w:rFonts w:ascii="Calibri" w:eastAsia="Calibri" w:hAnsi="Calibri" w:cs="Arial"/>
          <w:lang w:val="en-GB"/>
        </w:rPr>
        <w:t xml:space="preserve"> </w:t>
      </w:r>
      <w:r w:rsidR="00B65C63" w:rsidRPr="004A20B8">
        <w:rPr>
          <w:rFonts w:ascii="Calibri" w:eastAsia="Calibri" w:hAnsi="Calibri" w:cs="Arial"/>
          <w:lang w:val="en-GB"/>
        </w:rPr>
        <w:t xml:space="preserve">is the </w:t>
      </w:r>
      <w:r w:rsidR="00B00A3E">
        <w:rPr>
          <w:rFonts w:ascii="Calibri" w:eastAsia="Calibri" w:hAnsi="Calibri" w:cs="Arial"/>
          <w:lang w:val="en-GB"/>
        </w:rPr>
        <w:t xml:space="preserve">town </w:t>
      </w:r>
      <w:r w:rsidR="00B65C63" w:rsidRPr="004A20B8">
        <w:rPr>
          <w:rFonts w:ascii="Calibri" w:eastAsia="Calibri" w:hAnsi="Calibri" w:cs="Arial"/>
          <w:lang w:val="en-GB"/>
        </w:rPr>
        <w:t>of Gori</w:t>
      </w:r>
      <w:r w:rsidR="00B00A3E">
        <w:rPr>
          <w:rFonts w:ascii="Calibri" w:eastAsia="Calibri" w:hAnsi="Calibri" w:cs="Arial"/>
          <w:lang w:val="en-GB"/>
        </w:rPr>
        <w:t>—</w:t>
      </w:r>
      <w:r w:rsidR="00FC46C3" w:rsidRPr="004A20B8">
        <w:rPr>
          <w:rFonts w:ascii="Calibri" w:eastAsia="Calibri" w:hAnsi="Calibri" w:cs="Arial"/>
          <w:lang w:val="en-GB"/>
        </w:rPr>
        <w:t>an industrial city</w:t>
      </w:r>
      <w:r w:rsidRPr="004A20B8">
        <w:rPr>
          <w:rFonts w:ascii="Calibri" w:eastAsia="Calibri" w:hAnsi="Calibri" w:cs="Arial"/>
          <w:lang w:val="en-GB"/>
        </w:rPr>
        <w:t xml:space="preserve"> and the economic centre of the surrounding agricultural region. </w:t>
      </w:r>
    </w:p>
    <w:p w14:paraId="0C8D8DDC" w14:textId="77777777" w:rsidR="00415572" w:rsidRPr="004A20B8" w:rsidRDefault="00415572" w:rsidP="0019490B">
      <w:pPr>
        <w:ind w:left="-567" w:right="-142"/>
        <w:jc w:val="both"/>
        <w:rPr>
          <w:rFonts w:ascii="Calibri" w:eastAsia="Calibri" w:hAnsi="Calibri" w:cs="Arial"/>
          <w:lang w:val="en-GB"/>
        </w:rPr>
      </w:pPr>
    </w:p>
    <w:p w14:paraId="2D87DF27" w14:textId="77777777" w:rsidR="001A7601" w:rsidRPr="004A20B8" w:rsidRDefault="001A7601" w:rsidP="0019490B">
      <w:pPr>
        <w:ind w:left="-567" w:right="-142"/>
        <w:jc w:val="both"/>
        <w:rPr>
          <w:rFonts w:ascii="Calibri" w:eastAsia="Calibri" w:hAnsi="Calibri" w:cs="Arial"/>
          <w:lang w:val="en-GB"/>
        </w:rPr>
      </w:pPr>
      <w:r w:rsidRPr="004A20B8">
        <w:rPr>
          <w:rFonts w:ascii="Calibri" w:eastAsia="Calibri" w:hAnsi="Calibri" w:cs="Times New Roman"/>
          <w:b/>
          <w:color w:val="244061"/>
          <w:sz w:val="28"/>
          <w:szCs w:val="28"/>
          <w:lang w:val="en-GB"/>
        </w:rPr>
        <w:t>PROJECT GOAL AND OBJECTIVES</w:t>
      </w:r>
    </w:p>
    <w:p w14:paraId="5088B7C7" w14:textId="4E129591" w:rsidR="001A7601" w:rsidRPr="004A20B8" w:rsidRDefault="000F67F5" w:rsidP="005F23C3">
      <w:pPr>
        <w:ind w:left="-567" w:right="-142"/>
        <w:jc w:val="both"/>
        <w:rPr>
          <w:rFonts w:ascii="Calibri" w:eastAsia="Calibri" w:hAnsi="Calibri" w:cs="Calibri"/>
          <w:lang w:val="en-GB"/>
        </w:rPr>
      </w:pPr>
      <w:r w:rsidRPr="004A20B8">
        <w:rPr>
          <w:rFonts w:ascii="Calibri" w:eastAsia="Calibri" w:hAnsi="Calibri" w:cs="Calibri"/>
          <w:lang w:val="en-GB"/>
        </w:rPr>
        <w:t>The</w:t>
      </w:r>
      <w:r w:rsidR="001A7601" w:rsidRPr="004A20B8">
        <w:rPr>
          <w:rFonts w:ascii="Calibri" w:eastAsia="Calibri" w:hAnsi="Calibri" w:cs="Calibri"/>
          <w:lang w:val="en-GB"/>
        </w:rPr>
        <w:t xml:space="preserve"> </w:t>
      </w:r>
      <w:r w:rsidR="00B00A3E">
        <w:rPr>
          <w:rFonts w:ascii="Calibri" w:eastAsia="Calibri" w:hAnsi="Calibri" w:cs="Calibri"/>
          <w:lang w:val="en-GB"/>
        </w:rPr>
        <w:t xml:space="preserve">Project’s </w:t>
      </w:r>
      <w:r w:rsidR="001A7601" w:rsidRPr="004A20B8">
        <w:rPr>
          <w:rFonts w:ascii="Calibri" w:eastAsia="Calibri" w:hAnsi="Calibri" w:cs="Calibri"/>
          <w:lang w:val="en-GB"/>
        </w:rPr>
        <w:t xml:space="preserve">main goal is </w:t>
      </w:r>
      <w:r w:rsidR="00607AED" w:rsidRPr="004A20B8">
        <w:rPr>
          <w:rFonts w:ascii="Calibri" w:eastAsia="Calibri" w:hAnsi="Calibri" w:cs="Calibri"/>
          <w:lang w:val="en-GB"/>
        </w:rPr>
        <w:t>to create new opportunities for local economic development and sustainab</w:t>
      </w:r>
      <w:r w:rsidR="00243EFE" w:rsidRPr="004A20B8">
        <w:rPr>
          <w:rFonts w:ascii="Calibri" w:eastAsia="Calibri" w:hAnsi="Calibri" w:cs="Calibri"/>
          <w:lang w:val="en-GB"/>
        </w:rPr>
        <w:t xml:space="preserve">le economic growth in Gori </w:t>
      </w:r>
      <w:r w:rsidR="00B00A3E">
        <w:rPr>
          <w:rFonts w:ascii="Calibri" w:eastAsia="Calibri" w:hAnsi="Calibri" w:cs="Calibri"/>
          <w:lang w:val="en-GB"/>
        </w:rPr>
        <w:t>m</w:t>
      </w:r>
      <w:r w:rsidR="00607AED" w:rsidRPr="004A20B8">
        <w:rPr>
          <w:rFonts w:ascii="Calibri" w:eastAsia="Calibri" w:hAnsi="Calibri" w:cs="Calibri"/>
          <w:lang w:val="en-GB"/>
        </w:rPr>
        <w:t>unicipality.</w:t>
      </w:r>
      <w:r w:rsidR="005F23C3" w:rsidRPr="004A20B8">
        <w:rPr>
          <w:rFonts w:ascii="Calibri" w:eastAsia="Calibri" w:hAnsi="Calibri" w:cs="Calibri"/>
          <w:lang w:val="en-GB"/>
        </w:rPr>
        <w:t xml:space="preserve"> </w:t>
      </w:r>
      <w:r w:rsidR="001A7601" w:rsidRPr="004A20B8">
        <w:rPr>
          <w:rFonts w:ascii="Calibri" w:eastAsia="Calibri" w:hAnsi="Calibri" w:cs="Calibri"/>
          <w:lang w:val="en-GB"/>
        </w:rPr>
        <w:t xml:space="preserve">The Project will </w:t>
      </w:r>
      <w:r w:rsidR="00B00A3E">
        <w:rPr>
          <w:rFonts w:ascii="Calibri" w:eastAsia="Calibri" w:hAnsi="Calibri" w:cs="Calibri"/>
          <w:lang w:val="en-GB"/>
        </w:rPr>
        <w:t xml:space="preserve">aim to </w:t>
      </w:r>
      <w:r w:rsidR="005F23C3" w:rsidRPr="004A20B8">
        <w:rPr>
          <w:rFonts w:ascii="Calibri" w:eastAsia="Calibri" w:hAnsi="Calibri" w:cs="Calibri"/>
          <w:lang w:val="en-GB"/>
        </w:rPr>
        <w:t xml:space="preserve">achieve </w:t>
      </w:r>
      <w:r w:rsidR="00B00A3E">
        <w:rPr>
          <w:rFonts w:ascii="Calibri" w:eastAsia="Calibri" w:hAnsi="Calibri" w:cs="Calibri"/>
          <w:lang w:val="en-GB"/>
        </w:rPr>
        <w:t xml:space="preserve">the </w:t>
      </w:r>
      <w:r w:rsidR="005F23C3" w:rsidRPr="004A20B8">
        <w:rPr>
          <w:rFonts w:ascii="Calibri" w:eastAsia="Calibri" w:hAnsi="Calibri" w:cs="Calibri"/>
          <w:lang w:val="en-GB"/>
        </w:rPr>
        <w:t>three</w:t>
      </w:r>
      <w:r w:rsidR="001A7601" w:rsidRPr="004A20B8">
        <w:rPr>
          <w:rFonts w:ascii="Calibri" w:eastAsia="Calibri" w:hAnsi="Calibri" w:cs="Calibri"/>
          <w:lang w:val="en-GB"/>
        </w:rPr>
        <w:t xml:space="preserve"> following </w:t>
      </w:r>
      <w:r w:rsidR="001A7601" w:rsidRPr="004A20B8">
        <w:rPr>
          <w:rFonts w:ascii="Calibri" w:eastAsia="Calibri" w:hAnsi="Calibri" w:cs="Calibri"/>
          <w:b/>
          <w:i/>
          <w:lang w:val="en-GB"/>
        </w:rPr>
        <w:t xml:space="preserve">objectives: </w:t>
      </w:r>
    </w:p>
    <w:p w14:paraId="27FF3A9D" w14:textId="6800A29F" w:rsidR="001417F1" w:rsidRPr="004A20B8" w:rsidRDefault="00B00A3E" w:rsidP="001417F1">
      <w:pPr>
        <w:numPr>
          <w:ilvl w:val="0"/>
          <w:numId w:val="1"/>
        </w:numPr>
        <w:ind w:right="-142"/>
        <w:contextualSpacing/>
        <w:jc w:val="both"/>
        <w:rPr>
          <w:rFonts w:ascii="Calibri" w:eastAsia="Calibri" w:hAnsi="Calibri" w:cs="Arial"/>
          <w:lang w:val="en-GB"/>
        </w:rPr>
      </w:pPr>
      <w:r>
        <w:rPr>
          <w:rFonts w:ascii="Calibri" w:eastAsia="Calibri" w:hAnsi="Calibri" w:cs="Arial"/>
          <w:lang w:val="en-GB"/>
        </w:rPr>
        <w:t>To develop</w:t>
      </w:r>
      <w:r w:rsidR="00252DC7" w:rsidRPr="004A20B8">
        <w:rPr>
          <w:rFonts w:ascii="Calibri" w:eastAsia="Calibri" w:hAnsi="Calibri" w:cs="Arial"/>
          <w:lang w:val="en-GB"/>
        </w:rPr>
        <w:t xml:space="preserve"> </w:t>
      </w:r>
      <w:r>
        <w:rPr>
          <w:rFonts w:ascii="Calibri" w:eastAsia="Calibri" w:hAnsi="Calibri" w:cs="Arial"/>
          <w:lang w:val="en-GB"/>
        </w:rPr>
        <w:t xml:space="preserve">tourism </w:t>
      </w:r>
      <w:r w:rsidR="00252DC7" w:rsidRPr="004A20B8">
        <w:rPr>
          <w:rFonts w:ascii="Calibri" w:eastAsia="Calibri" w:hAnsi="Calibri" w:cs="Arial"/>
          <w:lang w:val="en-GB"/>
        </w:rPr>
        <w:t>infrastructure</w:t>
      </w:r>
      <w:r>
        <w:rPr>
          <w:rFonts w:ascii="Calibri" w:eastAsia="Calibri" w:hAnsi="Calibri" w:cs="Arial"/>
          <w:lang w:val="en-GB"/>
        </w:rPr>
        <w:t xml:space="preserve"> and to attract more investment</w:t>
      </w:r>
      <w:r w:rsidR="00252DC7" w:rsidRPr="004A20B8">
        <w:rPr>
          <w:rFonts w:ascii="Calibri" w:eastAsia="Calibri" w:hAnsi="Calibri" w:cs="Arial"/>
          <w:lang w:val="en-GB"/>
        </w:rPr>
        <w:t xml:space="preserve"> </w:t>
      </w:r>
      <w:r>
        <w:rPr>
          <w:rFonts w:ascii="Calibri" w:eastAsia="Calibri" w:hAnsi="Calibri" w:cs="Arial"/>
          <w:lang w:val="en-GB"/>
        </w:rPr>
        <w:t>to</w:t>
      </w:r>
      <w:r w:rsidR="00252DC7" w:rsidRPr="004A20B8">
        <w:rPr>
          <w:rFonts w:ascii="Calibri" w:eastAsia="Calibri" w:hAnsi="Calibri" w:cs="Arial"/>
          <w:lang w:val="en-GB"/>
        </w:rPr>
        <w:t xml:space="preserve"> the tourism sector</w:t>
      </w:r>
      <w:r w:rsidR="001417F1" w:rsidRPr="004A20B8">
        <w:rPr>
          <w:rFonts w:ascii="Calibri" w:eastAsia="Calibri" w:hAnsi="Calibri" w:cs="Arial"/>
          <w:lang w:val="en-GB"/>
        </w:rPr>
        <w:t xml:space="preserve">; </w:t>
      </w:r>
    </w:p>
    <w:p w14:paraId="05787367" w14:textId="474DEDF6" w:rsidR="001417F1" w:rsidRPr="004A20B8" w:rsidRDefault="00252DC7" w:rsidP="001417F1">
      <w:pPr>
        <w:numPr>
          <w:ilvl w:val="0"/>
          <w:numId w:val="1"/>
        </w:numPr>
        <w:ind w:right="-142"/>
        <w:contextualSpacing/>
        <w:jc w:val="both"/>
        <w:rPr>
          <w:rFonts w:ascii="Calibri" w:eastAsia="Calibri" w:hAnsi="Calibri" w:cs="Arial"/>
          <w:lang w:val="en-GB"/>
        </w:rPr>
      </w:pPr>
      <w:r w:rsidRPr="004A20B8">
        <w:rPr>
          <w:rFonts w:ascii="Calibri" w:eastAsia="Calibri" w:hAnsi="Calibri" w:cs="Arial"/>
          <w:lang w:val="en-GB"/>
        </w:rPr>
        <w:t xml:space="preserve">To create new opportunities for </w:t>
      </w:r>
      <w:r w:rsidR="00B00A3E">
        <w:rPr>
          <w:rFonts w:ascii="Calibri" w:eastAsia="Calibri" w:hAnsi="Calibri" w:cs="Arial"/>
          <w:lang w:val="en-GB"/>
        </w:rPr>
        <w:t xml:space="preserve">SMEs </w:t>
      </w:r>
      <w:r w:rsidRPr="004A20B8">
        <w:rPr>
          <w:rFonts w:ascii="Calibri" w:eastAsia="Calibri" w:hAnsi="Calibri" w:cs="Arial"/>
          <w:lang w:val="en-GB"/>
        </w:rPr>
        <w:t xml:space="preserve">in </w:t>
      </w:r>
      <w:r w:rsidR="00B00A3E">
        <w:rPr>
          <w:rFonts w:ascii="Calibri" w:eastAsia="Calibri" w:hAnsi="Calibri" w:cs="Arial"/>
          <w:lang w:val="en-GB"/>
        </w:rPr>
        <w:t xml:space="preserve">the </w:t>
      </w:r>
      <w:r w:rsidRPr="004A20B8">
        <w:rPr>
          <w:rFonts w:ascii="Calibri" w:eastAsia="Calibri" w:hAnsi="Calibri" w:cs="Arial"/>
          <w:lang w:val="en-GB"/>
        </w:rPr>
        <w:t xml:space="preserve">tourism sector, to develop their capacities and </w:t>
      </w:r>
      <w:r w:rsidR="00B00A3E">
        <w:rPr>
          <w:rFonts w:ascii="Calibri" w:eastAsia="Calibri" w:hAnsi="Calibri" w:cs="Arial"/>
          <w:lang w:val="en-GB"/>
        </w:rPr>
        <w:t xml:space="preserve">to increase </w:t>
      </w:r>
      <w:r w:rsidRPr="004A20B8">
        <w:rPr>
          <w:rFonts w:ascii="Calibri" w:eastAsia="Calibri" w:hAnsi="Calibri" w:cs="Arial"/>
          <w:lang w:val="en-GB"/>
        </w:rPr>
        <w:t xml:space="preserve">their </w:t>
      </w:r>
      <w:r w:rsidR="00730ED5">
        <w:rPr>
          <w:rFonts w:ascii="Calibri" w:eastAsia="Calibri" w:hAnsi="Calibri" w:cs="Arial"/>
          <w:lang w:val="en-GB"/>
        </w:rPr>
        <w:t>income</w:t>
      </w:r>
      <w:r w:rsidRPr="004A20B8">
        <w:rPr>
          <w:rFonts w:ascii="Calibri" w:eastAsia="Calibri" w:hAnsi="Calibri" w:cs="Arial"/>
          <w:lang w:val="en-GB"/>
        </w:rPr>
        <w:t>;</w:t>
      </w:r>
    </w:p>
    <w:p w14:paraId="78EFEC23" w14:textId="136815FD" w:rsidR="00252DC7" w:rsidRPr="004A20B8" w:rsidRDefault="00252DC7" w:rsidP="001417F1">
      <w:pPr>
        <w:numPr>
          <w:ilvl w:val="0"/>
          <w:numId w:val="1"/>
        </w:numPr>
        <w:ind w:right="-142"/>
        <w:contextualSpacing/>
        <w:jc w:val="both"/>
        <w:rPr>
          <w:rFonts w:ascii="Calibri" w:eastAsia="Calibri" w:hAnsi="Calibri" w:cs="Arial"/>
          <w:lang w:val="en-GB"/>
        </w:rPr>
      </w:pPr>
      <w:r w:rsidRPr="004A20B8">
        <w:rPr>
          <w:rFonts w:ascii="Calibri" w:eastAsia="Calibri" w:hAnsi="Calibri" w:cs="Arial"/>
          <w:lang w:val="en-GB"/>
        </w:rPr>
        <w:t xml:space="preserve">To improve </w:t>
      </w:r>
      <w:r w:rsidR="00B00A3E">
        <w:rPr>
          <w:rFonts w:ascii="Calibri" w:eastAsia="Calibri" w:hAnsi="Calibri" w:cs="Arial"/>
          <w:lang w:val="en-GB"/>
        </w:rPr>
        <w:t xml:space="preserve">the </w:t>
      </w:r>
      <w:r w:rsidRPr="004A20B8">
        <w:rPr>
          <w:rFonts w:ascii="Calibri" w:eastAsia="Calibri" w:hAnsi="Calibri" w:cs="Arial"/>
          <w:lang w:val="en-GB"/>
        </w:rPr>
        <w:t>professional skills of local business sector representatives and students/</w:t>
      </w:r>
      <w:r w:rsidR="00B00A3E">
        <w:rPr>
          <w:rFonts w:ascii="Calibri" w:eastAsia="Calibri" w:hAnsi="Calibri" w:cs="Arial"/>
          <w:lang w:val="en-GB"/>
        </w:rPr>
        <w:t xml:space="preserve">young people </w:t>
      </w:r>
      <w:r w:rsidRPr="004A20B8">
        <w:rPr>
          <w:rFonts w:ascii="Calibri" w:eastAsia="Calibri" w:hAnsi="Calibri" w:cs="Arial"/>
          <w:lang w:val="en-GB"/>
        </w:rPr>
        <w:t xml:space="preserve">in </w:t>
      </w:r>
      <w:r w:rsidR="00B00A3E">
        <w:rPr>
          <w:rFonts w:ascii="Calibri" w:eastAsia="Calibri" w:hAnsi="Calibri" w:cs="Arial"/>
          <w:lang w:val="en-GB"/>
        </w:rPr>
        <w:t xml:space="preserve">the </w:t>
      </w:r>
      <w:r w:rsidRPr="004A20B8">
        <w:rPr>
          <w:rFonts w:ascii="Calibri" w:eastAsia="Calibri" w:hAnsi="Calibri" w:cs="Arial"/>
          <w:lang w:val="en-GB"/>
        </w:rPr>
        <w:t xml:space="preserve">tourism </w:t>
      </w:r>
      <w:r w:rsidR="00B00A3E">
        <w:rPr>
          <w:rFonts w:ascii="Calibri" w:eastAsia="Calibri" w:hAnsi="Calibri" w:cs="Arial"/>
          <w:lang w:val="en-GB"/>
        </w:rPr>
        <w:t xml:space="preserve">sector </w:t>
      </w:r>
      <w:r w:rsidRPr="004A20B8">
        <w:rPr>
          <w:rFonts w:ascii="Calibri" w:eastAsia="Calibri" w:hAnsi="Calibri" w:cs="Arial"/>
          <w:lang w:val="en-GB"/>
        </w:rPr>
        <w:t>through internships, training</w:t>
      </w:r>
      <w:r w:rsidR="00B00A3E">
        <w:rPr>
          <w:rFonts w:ascii="Calibri" w:eastAsia="Calibri" w:hAnsi="Calibri" w:cs="Arial"/>
          <w:lang w:val="en-GB"/>
        </w:rPr>
        <w:t xml:space="preserve"> course</w:t>
      </w:r>
      <w:r w:rsidRPr="004A20B8">
        <w:rPr>
          <w:rFonts w:ascii="Calibri" w:eastAsia="Calibri" w:hAnsi="Calibri" w:cs="Arial"/>
          <w:lang w:val="en-GB"/>
        </w:rPr>
        <w:t xml:space="preserve">s and business advisory services. </w:t>
      </w:r>
    </w:p>
    <w:p w14:paraId="274303FC" w14:textId="77777777" w:rsidR="009C6691" w:rsidRPr="004A20B8" w:rsidRDefault="009C6691" w:rsidP="009C6691">
      <w:pPr>
        <w:ind w:right="-142"/>
        <w:contextualSpacing/>
        <w:jc w:val="both"/>
        <w:rPr>
          <w:rFonts w:ascii="Calibri" w:eastAsia="Calibri" w:hAnsi="Calibri" w:cs="Arial"/>
          <w:lang w:val="en-GB"/>
        </w:rPr>
      </w:pPr>
    </w:p>
    <w:p w14:paraId="50FCAB65" w14:textId="77777777" w:rsidR="00BC254B" w:rsidRPr="004A20B8" w:rsidRDefault="00BC254B" w:rsidP="009C6691">
      <w:pPr>
        <w:ind w:right="-142"/>
        <w:contextualSpacing/>
        <w:jc w:val="both"/>
        <w:rPr>
          <w:rFonts w:ascii="Calibri" w:eastAsia="Calibri" w:hAnsi="Calibri" w:cs="Arial"/>
          <w:lang w:val="en-GB"/>
        </w:rPr>
      </w:pPr>
    </w:p>
    <w:p w14:paraId="08481B29" w14:textId="77777777" w:rsidR="00415572" w:rsidRPr="004A20B8" w:rsidRDefault="00415572" w:rsidP="009C6691">
      <w:pPr>
        <w:ind w:right="-142"/>
        <w:contextualSpacing/>
        <w:jc w:val="both"/>
        <w:rPr>
          <w:rFonts w:ascii="Calibri" w:eastAsia="Times New Roman" w:hAnsi="Calibri" w:cs="Calibri"/>
          <w:lang w:val="en-GB" w:eastAsia="en-GB"/>
        </w:rPr>
      </w:pPr>
    </w:p>
    <w:tbl>
      <w:tblPr>
        <w:tblStyle w:val="-53"/>
        <w:tblW w:w="10490" w:type="dxa"/>
        <w:tblInd w:w="-601" w:type="dxa"/>
        <w:tblLook w:val="04A0" w:firstRow="1" w:lastRow="0" w:firstColumn="1" w:lastColumn="0" w:noHBand="0" w:noVBand="1"/>
      </w:tblPr>
      <w:tblGrid>
        <w:gridCol w:w="10490"/>
      </w:tblGrid>
      <w:tr w:rsidR="001A7601" w:rsidRPr="004A20B8" w14:paraId="1DDD8134" w14:textId="77777777" w:rsidTr="001A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8" w:space="0" w:color="4BACC6" w:themeColor="accent5"/>
              <w:left w:val="single" w:sz="8" w:space="0" w:color="4BACC6" w:themeColor="accent5"/>
              <w:bottom w:val="nil"/>
              <w:right w:val="single" w:sz="8" w:space="0" w:color="4BACC6" w:themeColor="accent5"/>
            </w:tcBorders>
            <w:hideMark/>
          </w:tcPr>
          <w:p w14:paraId="5146A2B9" w14:textId="77777777" w:rsidR="001A7601" w:rsidRPr="004A20B8" w:rsidRDefault="001A7601" w:rsidP="001A7601">
            <w:pPr>
              <w:rPr>
                <w:sz w:val="28"/>
                <w:szCs w:val="28"/>
                <w:lang w:val="en-GB"/>
              </w:rPr>
            </w:pPr>
            <w:r w:rsidRPr="004A20B8">
              <w:rPr>
                <w:sz w:val="28"/>
                <w:szCs w:val="28"/>
                <w:lang w:val="en-GB"/>
              </w:rPr>
              <w:t>PROJECT ACTIONS</w:t>
            </w:r>
          </w:p>
        </w:tc>
      </w:tr>
      <w:tr w:rsidR="001A7601" w:rsidRPr="004A20B8" w14:paraId="57D9FBDB" w14:textId="77777777" w:rsidTr="001A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704B70AF" w14:textId="77777777" w:rsidR="00B00A3E" w:rsidRDefault="00B00A3E" w:rsidP="00F14B40">
            <w:pPr>
              <w:jc w:val="both"/>
              <w:rPr>
                <w:b w:val="0"/>
                <w:lang w:val="en-GB"/>
              </w:rPr>
            </w:pPr>
          </w:p>
          <w:p w14:paraId="55B2743E" w14:textId="6BFF79D3" w:rsidR="00083759" w:rsidRPr="004A20B8" w:rsidRDefault="002222EE" w:rsidP="00F14B40">
            <w:pPr>
              <w:jc w:val="both"/>
              <w:rPr>
                <w:b w:val="0"/>
                <w:lang w:val="en-GB"/>
              </w:rPr>
            </w:pPr>
            <w:r w:rsidRPr="004A20B8">
              <w:rPr>
                <w:b w:val="0"/>
                <w:lang w:val="en-GB"/>
              </w:rPr>
              <w:t>The Project will develop</w:t>
            </w:r>
            <w:r w:rsidR="00083759" w:rsidRPr="004A20B8">
              <w:rPr>
                <w:b w:val="0"/>
                <w:lang w:val="en-GB"/>
              </w:rPr>
              <w:t xml:space="preserve"> </w:t>
            </w:r>
            <w:r w:rsidR="00083759" w:rsidRPr="004A20B8">
              <w:rPr>
                <w:b w:val="0"/>
                <w:i/>
                <w:u w:val="single"/>
                <w:lang w:val="en-GB"/>
              </w:rPr>
              <w:t>a new complex of tourism infrastructure</w:t>
            </w:r>
            <w:r w:rsidR="00083759" w:rsidRPr="004A20B8">
              <w:rPr>
                <w:b w:val="0"/>
                <w:lang w:val="en-GB"/>
              </w:rPr>
              <w:t xml:space="preserve"> in Gori </w:t>
            </w:r>
            <w:r w:rsidR="00B00A3E">
              <w:rPr>
                <w:b w:val="0"/>
                <w:lang w:val="en-GB"/>
              </w:rPr>
              <w:t>m</w:t>
            </w:r>
            <w:r w:rsidR="00083759" w:rsidRPr="004A20B8">
              <w:rPr>
                <w:b w:val="0"/>
                <w:lang w:val="en-GB"/>
              </w:rPr>
              <w:t>unicipality</w:t>
            </w:r>
            <w:r w:rsidR="00B00A3E">
              <w:rPr>
                <w:b w:val="0"/>
                <w:lang w:val="en-GB"/>
              </w:rPr>
              <w:t xml:space="preserve">, including </w:t>
            </w:r>
            <w:r w:rsidR="00694296" w:rsidRPr="004A20B8">
              <w:rPr>
                <w:b w:val="0"/>
                <w:lang w:val="en-GB"/>
              </w:rPr>
              <w:t xml:space="preserve">a recreational park in the city centre, </w:t>
            </w:r>
            <w:r w:rsidR="00B00A3E">
              <w:rPr>
                <w:b w:val="0"/>
                <w:lang w:val="en-GB"/>
              </w:rPr>
              <w:t xml:space="preserve">a </w:t>
            </w:r>
            <w:r w:rsidR="00694296" w:rsidRPr="004A20B8">
              <w:rPr>
                <w:b w:val="0"/>
                <w:lang w:val="en-GB"/>
              </w:rPr>
              <w:t xml:space="preserve">new tourism information centre, exhibition spaces, car </w:t>
            </w:r>
            <w:r w:rsidR="00B00A3E">
              <w:rPr>
                <w:b w:val="0"/>
                <w:lang w:val="en-GB"/>
              </w:rPr>
              <w:t>parks</w:t>
            </w:r>
            <w:r w:rsidR="00694296" w:rsidRPr="004A20B8">
              <w:rPr>
                <w:b w:val="0"/>
                <w:lang w:val="en-GB"/>
              </w:rPr>
              <w:t xml:space="preserve">, cycling infrastructure and </w:t>
            </w:r>
            <w:r w:rsidR="00B00A3E">
              <w:rPr>
                <w:b w:val="0"/>
                <w:lang w:val="en-GB"/>
              </w:rPr>
              <w:t xml:space="preserve">a </w:t>
            </w:r>
            <w:r w:rsidR="00CD3E3D" w:rsidRPr="004A20B8">
              <w:rPr>
                <w:b w:val="0"/>
                <w:lang w:val="en-GB"/>
              </w:rPr>
              <w:t xml:space="preserve">bicycle </w:t>
            </w:r>
            <w:r w:rsidR="00B00A3E">
              <w:rPr>
                <w:b w:val="0"/>
                <w:lang w:val="en-GB"/>
              </w:rPr>
              <w:t xml:space="preserve">rental </w:t>
            </w:r>
            <w:r w:rsidR="00CD3E3D" w:rsidRPr="004A20B8">
              <w:rPr>
                <w:b w:val="0"/>
                <w:lang w:val="en-GB"/>
              </w:rPr>
              <w:t xml:space="preserve">service, working </w:t>
            </w:r>
            <w:r w:rsidR="009C0E65">
              <w:rPr>
                <w:b w:val="0"/>
                <w:lang w:val="en-GB"/>
              </w:rPr>
              <w:t>spaces</w:t>
            </w:r>
            <w:r w:rsidR="00CD3E3D" w:rsidRPr="004A20B8">
              <w:rPr>
                <w:b w:val="0"/>
                <w:lang w:val="en-GB"/>
              </w:rPr>
              <w:t xml:space="preserve"> for craftsmen. </w:t>
            </w:r>
          </w:p>
          <w:p w14:paraId="3A224BE3" w14:textId="77777777" w:rsidR="004D3AA4" w:rsidRPr="004A20B8" w:rsidRDefault="004D3AA4" w:rsidP="00F14B40">
            <w:pPr>
              <w:jc w:val="both"/>
              <w:rPr>
                <w:b w:val="0"/>
                <w:lang w:val="en-GB"/>
              </w:rPr>
            </w:pPr>
          </w:p>
          <w:p w14:paraId="50C60361" w14:textId="73EC7551" w:rsidR="00CD3E3D" w:rsidRPr="004A20B8" w:rsidRDefault="00772ADC" w:rsidP="00F14B40">
            <w:pPr>
              <w:jc w:val="both"/>
              <w:rPr>
                <w:b w:val="0"/>
                <w:lang w:val="en-GB"/>
              </w:rPr>
            </w:pPr>
            <w:r w:rsidRPr="004A20B8">
              <w:rPr>
                <w:b w:val="0"/>
                <w:lang w:val="en-GB"/>
              </w:rPr>
              <w:t>The Project’</w:t>
            </w:r>
            <w:r w:rsidR="009C0E65">
              <w:rPr>
                <w:b w:val="0"/>
                <w:lang w:val="en-GB"/>
              </w:rPr>
              <w:t>s</w:t>
            </w:r>
            <w:r w:rsidRPr="004A20B8">
              <w:rPr>
                <w:b w:val="0"/>
                <w:lang w:val="en-GB"/>
              </w:rPr>
              <w:t xml:space="preserve"> partner</w:t>
            </w:r>
            <w:r w:rsidR="009C0E65">
              <w:rPr>
                <w:b w:val="0"/>
                <w:lang w:val="en-GB"/>
              </w:rPr>
              <w:t>—Gori’s Museum of History and Ethnography—</w:t>
            </w:r>
            <w:r w:rsidRPr="004A20B8">
              <w:rPr>
                <w:b w:val="0"/>
                <w:lang w:val="en-GB"/>
              </w:rPr>
              <w:t xml:space="preserve">will provide </w:t>
            </w:r>
            <w:r w:rsidR="009C0E65">
              <w:rPr>
                <w:b w:val="0"/>
                <w:lang w:val="en-GB"/>
              </w:rPr>
              <w:t>200m</w:t>
            </w:r>
            <w:r w:rsidR="009C0E65" w:rsidRPr="009C0E65">
              <w:rPr>
                <w:b w:val="0"/>
                <w:vertAlign w:val="superscript"/>
                <w:lang w:val="en-GB"/>
              </w:rPr>
              <w:t>2</w:t>
            </w:r>
            <w:r w:rsidR="009C0E65">
              <w:rPr>
                <w:b w:val="0"/>
                <w:lang w:val="en-GB"/>
              </w:rPr>
              <w:t xml:space="preserve"> of </w:t>
            </w:r>
            <w:r w:rsidRPr="004A20B8">
              <w:rPr>
                <w:b w:val="0"/>
                <w:lang w:val="en-GB"/>
              </w:rPr>
              <w:t xml:space="preserve">working </w:t>
            </w:r>
            <w:r w:rsidR="009C0E65">
              <w:rPr>
                <w:b w:val="0"/>
                <w:lang w:val="en-GB"/>
              </w:rPr>
              <w:t xml:space="preserve">spaces </w:t>
            </w:r>
            <w:r w:rsidRPr="004A20B8">
              <w:rPr>
                <w:b w:val="0"/>
                <w:lang w:val="en-GB"/>
              </w:rPr>
              <w:t xml:space="preserve">and </w:t>
            </w:r>
            <w:r w:rsidRPr="004A20B8">
              <w:rPr>
                <w:b w:val="0"/>
                <w:i/>
                <w:lang w:val="en-GB"/>
              </w:rPr>
              <w:t>workshops</w:t>
            </w:r>
            <w:r w:rsidRPr="004A20B8">
              <w:rPr>
                <w:b w:val="0"/>
                <w:lang w:val="en-GB"/>
              </w:rPr>
              <w:t xml:space="preserve"> </w:t>
            </w:r>
            <w:r w:rsidR="009C0E65">
              <w:rPr>
                <w:b w:val="0"/>
                <w:lang w:val="en-GB"/>
              </w:rPr>
              <w:t xml:space="preserve">for the production of </w:t>
            </w:r>
            <w:r w:rsidRPr="004A20B8">
              <w:rPr>
                <w:b w:val="0"/>
                <w:lang w:val="en-GB"/>
              </w:rPr>
              <w:t>national handicrafts and/or other souvenirs and products</w:t>
            </w:r>
            <w:r w:rsidR="00F362AE" w:rsidRPr="004A20B8">
              <w:rPr>
                <w:b w:val="0"/>
                <w:lang w:val="en-GB"/>
              </w:rPr>
              <w:t>. The workshop</w:t>
            </w:r>
            <w:r w:rsidRPr="004A20B8">
              <w:rPr>
                <w:b w:val="0"/>
                <w:lang w:val="en-GB"/>
              </w:rPr>
              <w:t xml:space="preserve"> area will include: a sewing shop for traditional costumes, a bakery </w:t>
            </w:r>
            <w:r w:rsidR="009C0E65">
              <w:rPr>
                <w:b w:val="0"/>
                <w:lang w:val="en-GB"/>
              </w:rPr>
              <w:t xml:space="preserve">for </w:t>
            </w:r>
            <w:r w:rsidRPr="004A20B8">
              <w:rPr>
                <w:b w:val="0"/>
                <w:lang w:val="en-GB"/>
              </w:rPr>
              <w:t xml:space="preserve">Georgian traditional bread, </w:t>
            </w:r>
            <w:r w:rsidR="009C0E65">
              <w:rPr>
                <w:b w:val="0"/>
                <w:lang w:val="en-GB"/>
              </w:rPr>
              <w:t xml:space="preserve">carpet weaving </w:t>
            </w:r>
            <w:r w:rsidRPr="004A20B8">
              <w:rPr>
                <w:b w:val="0"/>
                <w:lang w:val="en-GB"/>
              </w:rPr>
              <w:t xml:space="preserve">workshops, </w:t>
            </w:r>
            <w:r w:rsidR="009C0E65">
              <w:rPr>
                <w:b w:val="0"/>
                <w:lang w:val="en-GB"/>
              </w:rPr>
              <w:t xml:space="preserve">a </w:t>
            </w:r>
            <w:r w:rsidRPr="004A20B8">
              <w:rPr>
                <w:b w:val="0"/>
                <w:lang w:val="en-GB"/>
              </w:rPr>
              <w:t xml:space="preserve">wine </w:t>
            </w:r>
            <w:r w:rsidR="009C0E65">
              <w:rPr>
                <w:b w:val="0"/>
                <w:lang w:val="en-GB"/>
              </w:rPr>
              <w:t>tasting area</w:t>
            </w:r>
            <w:r w:rsidRPr="004A20B8">
              <w:rPr>
                <w:b w:val="0"/>
                <w:lang w:val="en-GB"/>
              </w:rPr>
              <w:t xml:space="preserve">, </w:t>
            </w:r>
            <w:r w:rsidR="009C0E65">
              <w:rPr>
                <w:b w:val="0"/>
                <w:lang w:val="en-GB"/>
              </w:rPr>
              <w:t xml:space="preserve">an area for the confection of </w:t>
            </w:r>
            <w:r w:rsidR="009C1FC3" w:rsidRPr="004A20B8">
              <w:rPr>
                <w:b w:val="0"/>
                <w:lang w:val="en-GB"/>
              </w:rPr>
              <w:t>Georgian sweets</w:t>
            </w:r>
            <w:r w:rsidR="009C0E65">
              <w:rPr>
                <w:b w:val="0"/>
                <w:lang w:val="en-GB"/>
              </w:rPr>
              <w:t>,</w:t>
            </w:r>
            <w:r w:rsidR="009C1FC3" w:rsidRPr="004A20B8">
              <w:rPr>
                <w:b w:val="0"/>
                <w:lang w:val="en-GB"/>
              </w:rPr>
              <w:t xml:space="preserve"> etc. </w:t>
            </w:r>
          </w:p>
          <w:p w14:paraId="577C77C1" w14:textId="77777777" w:rsidR="00083759" w:rsidRPr="004A20B8" w:rsidRDefault="00C971F9" w:rsidP="00694296">
            <w:pPr>
              <w:jc w:val="both"/>
              <w:rPr>
                <w:b w:val="0"/>
                <w:lang w:val="en-GB"/>
              </w:rPr>
            </w:pPr>
            <w:r w:rsidRPr="004A20B8">
              <w:rPr>
                <w:noProof/>
                <w:lang w:eastAsia="uk-UA"/>
              </w:rPr>
              <w:drawing>
                <wp:anchor distT="0" distB="0" distL="114300" distR="114300" simplePos="0" relativeHeight="251671552" behindDoc="1" locked="0" layoutInCell="1" allowOverlap="1" wp14:anchorId="729272BF" wp14:editId="7748F6A1">
                  <wp:simplePos x="0" y="0"/>
                  <wp:positionH relativeFrom="column">
                    <wp:posOffset>2540</wp:posOffset>
                  </wp:positionH>
                  <wp:positionV relativeFrom="paragraph">
                    <wp:posOffset>-990600</wp:posOffset>
                  </wp:positionV>
                  <wp:extent cx="2806700" cy="1562100"/>
                  <wp:effectExtent l="0" t="0" r="0" b="0"/>
                  <wp:wrapTight wrapText="bothSides">
                    <wp:wrapPolygon edited="0">
                      <wp:start x="0" y="0"/>
                      <wp:lineTo x="0" y="21337"/>
                      <wp:lineTo x="21405" y="21337"/>
                      <wp:lineTo x="21405" y="0"/>
                      <wp:lineTo x="0" y="0"/>
                    </wp:wrapPolygon>
                  </wp:wrapTight>
                  <wp:docPr id="3" name="Рисунок 3" descr="C:\Users\Svitlana Slabinska\Desktop\photo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itlana Slabinska\Desktop\photos\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59" w:rsidRPr="004A20B8">
              <w:rPr>
                <w:b w:val="0"/>
                <w:lang w:val="en-GB"/>
              </w:rPr>
              <w:t xml:space="preserve">   </w:t>
            </w:r>
          </w:p>
          <w:p w14:paraId="5D0B06F2" w14:textId="26C95983" w:rsidR="00864845" w:rsidRPr="004A20B8" w:rsidRDefault="009C0E65" w:rsidP="00C54EFA">
            <w:pPr>
              <w:jc w:val="both"/>
              <w:rPr>
                <w:b w:val="0"/>
                <w:lang w:val="en-GB"/>
              </w:rPr>
            </w:pPr>
            <w:r>
              <w:rPr>
                <w:lang w:val="en-GB"/>
              </w:rPr>
              <w:t>An i</w:t>
            </w:r>
            <w:r w:rsidR="00C54EFA" w:rsidRPr="004A20B8">
              <w:rPr>
                <w:lang w:val="en-GB"/>
              </w:rPr>
              <w:t xml:space="preserve">nternship </w:t>
            </w:r>
            <w:r>
              <w:rPr>
                <w:lang w:val="en-GB"/>
              </w:rPr>
              <w:t>p</w:t>
            </w:r>
            <w:r w:rsidR="00C54EFA" w:rsidRPr="004A20B8">
              <w:rPr>
                <w:lang w:val="en-GB"/>
              </w:rPr>
              <w:t>rogramme</w:t>
            </w:r>
            <w:r>
              <w:rPr>
                <w:lang w:val="en-GB"/>
              </w:rPr>
              <w:t xml:space="preserve"> for students/young people</w:t>
            </w:r>
            <w:r w:rsidR="00044978" w:rsidRPr="004A20B8">
              <w:rPr>
                <w:lang w:val="en-GB"/>
              </w:rPr>
              <w:t xml:space="preserve"> </w:t>
            </w:r>
            <w:r w:rsidR="00044978" w:rsidRPr="004A20B8">
              <w:rPr>
                <w:b w:val="0"/>
                <w:lang w:val="en-GB"/>
              </w:rPr>
              <w:t xml:space="preserve">will be </w:t>
            </w:r>
            <w:r w:rsidR="00C52C5E">
              <w:rPr>
                <w:b w:val="0"/>
                <w:lang w:val="en-GB"/>
              </w:rPr>
              <w:t>developed</w:t>
            </w:r>
            <w:r>
              <w:rPr>
                <w:b w:val="0"/>
                <w:lang w:val="en-GB"/>
              </w:rPr>
              <w:t xml:space="preserve"> </w:t>
            </w:r>
            <w:r w:rsidR="00044978" w:rsidRPr="004A20B8">
              <w:rPr>
                <w:b w:val="0"/>
                <w:lang w:val="en-GB"/>
              </w:rPr>
              <w:t xml:space="preserve">in cooperation with the private sector. Young locals will </w:t>
            </w:r>
            <w:r w:rsidR="00C52C5E">
              <w:rPr>
                <w:b w:val="0"/>
                <w:lang w:val="en-GB"/>
              </w:rPr>
              <w:t>have</w:t>
            </w:r>
            <w:r>
              <w:rPr>
                <w:b w:val="0"/>
                <w:lang w:val="en-GB"/>
              </w:rPr>
              <w:t xml:space="preserve"> the opportunity to </w:t>
            </w:r>
            <w:r w:rsidR="00044978" w:rsidRPr="004A20B8">
              <w:rPr>
                <w:b w:val="0"/>
                <w:lang w:val="en-GB"/>
              </w:rPr>
              <w:t xml:space="preserve">develop their skills through internships in the tourism information </w:t>
            </w:r>
            <w:r w:rsidR="00216A9E" w:rsidRPr="004A20B8">
              <w:rPr>
                <w:b w:val="0"/>
                <w:lang w:val="en-GB"/>
              </w:rPr>
              <w:t>centres</w:t>
            </w:r>
            <w:r w:rsidR="00C54EFA" w:rsidRPr="004A20B8">
              <w:rPr>
                <w:b w:val="0"/>
                <w:lang w:val="en-GB"/>
              </w:rPr>
              <w:t xml:space="preserve">, </w:t>
            </w:r>
            <w:r>
              <w:rPr>
                <w:b w:val="0"/>
                <w:lang w:val="en-GB"/>
              </w:rPr>
              <w:t>various d</w:t>
            </w:r>
            <w:r w:rsidR="00F362AE" w:rsidRPr="004A20B8">
              <w:rPr>
                <w:b w:val="0"/>
                <w:lang w:val="en-GB"/>
              </w:rPr>
              <w:t xml:space="preserve">epartments of Gori </w:t>
            </w:r>
            <w:r>
              <w:rPr>
                <w:b w:val="0"/>
                <w:lang w:val="en-GB"/>
              </w:rPr>
              <w:t>m</w:t>
            </w:r>
            <w:r w:rsidR="00F362AE" w:rsidRPr="004A20B8">
              <w:rPr>
                <w:b w:val="0"/>
                <w:lang w:val="en-GB"/>
              </w:rPr>
              <w:t>unicipality</w:t>
            </w:r>
            <w:r w:rsidR="00044978" w:rsidRPr="004A20B8">
              <w:rPr>
                <w:b w:val="0"/>
                <w:lang w:val="en-GB"/>
              </w:rPr>
              <w:t xml:space="preserve"> responsible for</w:t>
            </w:r>
            <w:r w:rsidR="00C54EFA" w:rsidRPr="004A20B8">
              <w:rPr>
                <w:b w:val="0"/>
                <w:lang w:val="en-GB"/>
              </w:rPr>
              <w:t xml:space="preserve"> tourism development, </w:t>
            </w:r>
            <w:r w:rsidR="00F362AE" w:rsidRPr="004A20B8">
              <w:rPr>
                <w:b w:val="0"/>
                <w:lang w:val="en-GB"/>
              </w:rPr>
              <w:t xml:space="preserve">local companies and </w:t>
            </w:r>
            <w:r w:rsidR="00216A9E" w:rsidRPr="004A20B8">
              <w:rPr>
                <w:b w:val="0"/>
                <w:lang w:val="en-GB"/>
              </w:rPr>
              <w:t>enterprises</w:t>
            </w:r>
            <w:r w:rsidR="00044978" w:rsidRPr="004A20B8">
              <w:rPr>
                <w:b w:val="0"/>
                <w:lang w:val="en-GB"/>
              </w:rPr>
              <w:t xml:space="preserve">). </w:t>
            </w:r>
          </w:p>
          <w:p w14:paraId="0B1657F8" w14:textId="77777777" w:rsidR="00C971F9" w:rsidRPr="004A20B8" w:rsidRDefault="00C971F9" w:rsidP="001A7601">
            <w:pPr>
              <w:jc w:val="both"/>
              <w:rPr>
                <w:b w:val="0"/>
                <w:lang w:val="en-GB"/>
              </w:rPr>
            </w:pPr>
          </w:p>
          <w:p w14:paraId="733987B4" w14:textId="24647733" w:rsidR="001A7601" w:rsidRPr="004A20B8" w:rsidRDefault="001A7601" w:rsidP="001A7601">
            <w:pPr>
              <w:jc w:val="both"/>
              <w:rPr>
                <w:color w:val="1F497D"/>
                <w:sz w:val="24"/>
                <w:szCs w:val="24"/>
                <w:lang w:val="en-GB"/>
              </w:rPr>
            </w:pPr>
            <w:r w:rsidRPr="004A20B8">
              <w:rPr>
                <w:color w:val="1F497D"/>
                <w:sz w:val="24"/>
                <w:szCs w:val="24"/>
                <w:lang w:val="en-GB"/>
              </w:rPr>
              <w:t>The Project’</w:t>
            </w:r>
            <w:r w:rsidR="009C0E65">
              <w:rPr>
                <w:color w:val="1F497D"/>
                <w:sz w:val="24"/>
                <w:szCs w:val="24"/>
                <w:lang w:val="en-GB"/>
              </w:rPr>
              <w:t>s</w:t>
            </w:r>
            <w:r w:rsidRPr="004A20B8">
              <w:rPr>
                <w:color w:val="1F497D"/>
                <w:sz w:val="24"/>
                <w:szCs w:val="24"/>
                <w:lang w:val="en-GB"/>
              </w:rPr>
              <w:t xml:space="preserve"> actions include: </w:t>
            </w:r>
          </w:p>
          <w:p w14:paraId="0117F097" w14:textId="77777777" w:rsidR="00261002" w:rsidRPr="004A20B8" w:rsidRDefault="00261002" w:rsidP="001A7601">
            <w:pPr>
              <w:jc w:val="both"/>
              <w:rPr>
                <w:color w:val="1F497D"/>
                <w:sz w:val="24"/>
                <w:szCs w:val="24"/>
                <w:lang w:val="en-GB"/>
              </w:rPr>
            </w:pPr>
          </w:p>
          <w:p w14:paraId="0E758F6D" w14:textId="02D01D26" w:rsidR="00104805" w:rsidRPr="004A20B8" w:rsidRDefault="009C0E65" w:rsidP="00AE6CD6">
            <w:pPr>
              <w:numPr>
                <w:ilvl w:val="0"/>
                <w:numId w:val="2"/>
              </w:numPr>
              <w:contextualSpacing/>
              <w:jc w:val="both"/>
              <w:rPr>
                <w:lang w:val="en-GB"/>
              </w:rPr>
            </w:pPr>
            <w:r>
              <w:rPr>
                <w:b w:val="0"/>
                <w:lang w:val="en-GB"/>
              </w:rPr>
              <w:t xml:space="preserve">A </w:t>
            </w:r>
            <w:r w:rsidR="00E82025">
              <w:rPr>
                <w:lang w:val="en-GB"/>
              </w:rPr>
              <w:t xml:space="preserve">public-private </w:t>
            </w:r>
            <w:r w:rsidRPr="009C0E65">
              <w:rPr>
                <w:lang w:val="en-GB"/>
              </w:rPr>
              <w:t>p</w:t>
            </w:r>
            <w:r w:rsidR="00AE6CD6" w:rsidRPr="009C0E65">
              <w:rPr>
                <w:lang w:val="en-GB"/>
              </w:rPr>
              <w:t>artnership</w:t>
            </w:r>
            <w:r w:rsidR="00AE6CD6" w:rsidRPr="004A20B8">
              <w:rPr>
                <w:b w:val="0"/>
                <w:lang w:val="en-GB"/>
              </w:rPr>
              <w:t xml:space="preserve"> </w:t>
            </w:r>
            <w:r w:rsidR="00104805" w:rsidRPr="004A20B8">
              <w:rPr>
                <w:b w:val="0"/>
                <w:lang w:val="en-GB"/>
              </w:rPr>
              <w:t>will be established</w:t>
            </w:r>
            <w:r w:rsidR="00104805" w:rsidRPr="004A20B8">
              <w:rPr>
                <w:lang w:val="en-GB"/>
              </w:rPr>
              <w:t xml:space="preserve"> </w:t>
            </w:r>
            <w:r w:rsidR="00AE6CD6" w:rsidRPr="004A20B8">
              <w:rPr>
                <w:b w:val="0"/>
                <w:lang w:val="en-GB"/>
              </w:rPr>
              <w:t xml:space="preserve">to consider </w:t>
            </w:r>
            <w:r>
              <w:rPr>
                <w:b w:val="0"/>
                <w:lang w:val="en-GB"/>
              </w:rPr>
              <w:t xml:space="preserve">suggestions </w:t>
            </w:r>
            <w:r w:rsidR="00AE6CD6" w:rsidRPr="004A20B8">
              <w:rPr>
                <w:b w:val="0"/>
                <w:lang w:val="en-GB"/>
              </w:rPr>
              <w:t xml:space="preserve">from </w:t>
            </w:r>
            <w:r w:rsidR="00104805" w:rsidRPr="004A20B8">
              <w:rPr>
                <w:b w:val="0"/>
                <w:lang w:val="en-GB"/>
              </w:rPr>
              <w:t>local businesses;</w:t>
            </w:r>
          </w:p>
          <w:p w14:paraId="4F0BEF69" w14:textId="22C74E6B" w:rsidR="00542D2C" w:rsidRPr="004A20B8" w:rsidRDefault="007C3EB3" w:rsidP="00AE6CD6">
            <w:pPr>
              <w:numPr>
                <w:ilvl w:val="0"/>
                <w:numId w:val="2"/>
              </w:numPr>
              <w:contextualSpacing/>
              <w:jc w:val="both"/>
              <w:rPr>
                <w:lang w:val="en-GB"/>
              </w:rPr>
            </w:pPr>
            <w:r w:rsidRPr="004A20B8">
              <w:rPr>
                <w:b w:val="0"/>
                <w:lang w:val="en-GB"/>
              </w:rPr>
              <w:t xml:space="preserve">Gori </w:t>
            </w:r>
            <w:r w:rsidR="009C0E65">
              <w:rPr>
                <w:b w:val="0"/>
                <w:lang w:val="en-GB"/>
              </w:rPr>
              <w:t>m</w:t>
            </w:r>
            <w:r w:rsidRPr="004A20B8">
              <w:rPr>
                <w:b w:val="0"/>
                <w:lang w:val="en-GB"/>
              </w:rPr>
              <w:t>unicipality</w:t>
            </w:r>
            <w:r w:rsidR="009C0E65">
              <w:rPr>
                <w:b w:val="0"/>
                <w:lang w:val="en-GB"/>
              </w:rPr>
              <w:t>,</w:t>
            </w:r>
            <w:r w:rsidRPr="004A20B8">
              <w:rPr>
                <w:b w:val="0"/>
                <w:lang w:val="en-GB"/>
              </w:rPr>
              <w:t xml:space="preserve"> in partnership with the Georgian National Tourism Administration</w:t>
            </w:r>
            <w:r w:rsidR="009C0E65">
              <w:rPr>
                <w:b w:val="0"/>
                <w:lang w:val="en-GB"/>
              </w:rPr>
              <w:t>,</w:t>
            </w:r>
            <w:r w:rsidRPr="004A20B8">
              <w:rPr>
                <w:b w:val="0"/>
                <w:lang w:val="en-GB"/>
              </w:rPr>
              <w:t xml:space="preserve"> will </w:t>
            </w:r>
            <w:r w:rsidR="009C0E65">
              <w:rPr>
                <w:b w:val="0"/>
                <w:lang w:val="en-GB"/>
              </w:rPr>
              <w:t xml:space="preserve">organize </w:t>
            </w:r>
            <w:r w:rsidRPr="004A20B8">
              <w:rPr>
                <w:b w:val="0"/>
                <w:i/>
                <w:lang w:val="en-GB"/>
              </w:rPr>
              <w:t xml:space="preserve">workshops </w:t>
            </w:r>
            <w:r w:rsidRPr="004A20B8">
              <w:rPr>
                <w:b w:val="0"/>
                <w:lang w:val="en-GB"/>
              </w:rPr>
              <w:t xml:space="preserve">for </w:t>
            </w:r>
            <w:r w:rsidR="009C0E65">
              <w:rPr>
                <w:b w:val="0"/>
                <w:lang w:val="en-GB"/>
              </w:rPr>
              <w:t xml:space="preserve">the employees </w:t>
            </w:r>
            <w:r w:rsidRPr="004A20B8">
              <w:rPr>
                <w:b w:val="0"/>
                <w:lang w:val="en-GB"/>
              </w:rPr>
              <w:t xml:space="preserve">of tourist information centres </w:t>
            </w:r>
            <w:r w:rsidR="009C0E65">
              <w:rPr>
                <w:b w:val="0"/>
                <w:lang w:val="en-GB"/>
              </w:rPr>
              <w:t xml:space="preserve">in order </w:t>
            </w:r>
            <w:r w:rsidRPr="004A20B8">
              <w:rPr>
                <w:b w:val="0"/>
                <w:lang w:val="en-GB"/>
              </w:rPr>
              <w:t xml:space="preserve">to ensure proper </w:t>
            </w:r>
            <w:r w:rsidR="009C0E65">
              <w:rPr>
                <w:b w:val="0"/>
                <w:lang w:val="en-GB"/>
              </w:rPr>
              <w:t xml:space="preserve">levels of </w:t>
            </w:r>
            <w:r w:rsidRPr="004A20B8">
              <w:rPr>
                <w:b w:val="0"/>
                <w:lang w:val="en-GB"/>
              </w:rPr>
              <w:t xml:space="preserve">service delivery to </w:t>
            </w:r>
            <w:r w:rsidR="009C0E65">
              <w:rPr>
                <w:b w:val="0"/>
                <w:lang w:val="en-GB"/>
              </w:rPr>
              <w:t xml:space="preserve">the city’s </w:t>
            </w:r>
            <w:r w:rsidRPr="004A20B8">
              <w:rPr>
                <w:b w:val="0"/>
                <w:lang w:val="en-GB"/>
              </w:rPr>
              <w:t>international visitors</w:t>
            </w:r>
            <w:r w:rsidR="00C54EFA" w:rsidRPr="004A20B8">
              <w:rPr>
                <w:b w:val="0"/>
                <w:lang w:val="en-GB"/>
              </w:rPr>
              <w:t xml:space="preserve">; </w:t>
            </w:r>
          </w:p>
          <w:p w14:paraId="17EC77EF" w14:textId="0CE7007C" w:rsidR="00B22D18" w:rsidRPr="004A20B8" w:rsidRDefault="00943E5B" w:rsidP="00943E5B">
            <w:pPr>
              <w:numPr>
                <w:ilvl w:val="0"/>
                <w:numId w:val="2"/>
              </w:numPr>
              <w:contextualSpacing/>
              <w:jc w:val="both"/>
              <w:rPr>
                <w:b w:val="0"/>
                <w:lang w:val="en-GB"/>
              </w:rPr>
            </w:pPr>
            <w:r w:rsidRPr="004A20B8">
              <w:rPr>
                <w:b w:val="0"/>
                <w:lang w:val="en-GB"/>
              </w:rPr>
              <w:t xml:space="preserve">A special </w:t>
            </w:r>
            <w:r w:rsidRPr="004A20B8">
              <w:rPr>
                <w:b w:val="0"/>
                <w:i/>
                <w:lang w:val="en-GB"/>
              </w:rPr>
              <w:t>training programme</w:t>
            </w:r>
            <w:r w:rsidRPr="004A20B8">
              <w:rPr>
                <w:b w:val="0"/>
                <w:lang w:val="en-GB"/>
              </w:rPr>
              <w:t xml:space="preserve"> will be developed </w:t>
            </w:r>
            <w:r w:rsidR="009C0E65" w:rsidRPr="004A20B8">
              <w:rPr>
                <w:b w:val="0"/>
                <w:lang w:val="en-GB"/>
              </w:rPr>
              <w:t xml:space="preserve">in cooperation with </w:t>
            </w:r>
            <w:r w:rsidR="00C1524F">
              <w:rPr>
                <w:b w:val="0"/>
                <w:lang w:val="en-GB"/>
              </w:rPr>
              <w:t xml:space="preserve">the </w:t>
            </w:r>
            <w:r w:rsidR="009C0E65">
              <w:rPr>
                <w:b w:val="0"/>
                <w:lang w:val="en-GB"/>
              </w:rPr>
              <w:t>Gori’s</w:t>
            </w:r>
            <w:r w:rsidR="009C0E65" w:rsidRPr="004A20B8">
              <w:rPr>
                <w:b w:val="0"/>
                <w:lang w:val="en-GB"/>
              </w:rPr>
              <w:t xml:space="preserve"> State Teaching University </w:t>
            </w:r>
            <w:r w:rsidR="009C0E65">
              <w:rPr>
                <w:b w:val="0"/>
                <w:lang w:val="en-GB"/>
              </w:rPr>
              <w:t xml:space="preserve">in order </w:t>
            </w:r>
            <w:r w:rsidRPr="004A20B8">
              <w:rPr>
                <w:b w:val="0"/>
                <w:lang w:val="en-GB"/>
              </w:rPr>
              <w:t xml:space="preserve">to improve </w:t>
            </w:r>
            <w:r w:rsidR="009C0E65">
              <w:rPr>
                <w:b w:val="0"/>
                <w:lang w:val="en-GB"/>
              </w:rPr>
              <w:t xml:space="preserve">the capacities of </w:t>
            </w:r>
            <w:r w:rsidRPr="004A20B8">
              <w:rPr>
                <w:b w:val="0"/>
                <w:lang w:val="en-GB"/>
              </w:rPr>
              <w:t xml:space="preserve">students and </w:t>
            </w:r>
            <w:r w:rsidR="009C0E65">
              <w:rPr>
                <w:b w:val="0"/>
                <w:lang w:val="en-GB"/>
              </w:rPr>
              <w:t xml:space="preserve">young people </w:t>
            </w:r>
            <w:r w:rsidRPr="004A20B8">
              <w:rPr>
                <w:b w:val="0"/>
                <w:lang w:val="en-GB"/>
              </w:rPr>
              <w:t xml:space="preserve">in the tourism sector; </w:t>
            </w:r>
          </w:p>
          <w:p w14:paraId="65C1D374" w14:textId="3FBB72D0" w:rsidR="00044978" w:rsidRPr="004A20B8" w:rsidRDefault="00C54EFA" w:rsidP="009C0E65">
            <w:pPr>
              <w:numPr>
                <w:ilvl w:val="0"/>
                <w:numId w:val="2"/>
              </w:numPr>
              <w:contextualSpacing/>
              <w:jc w:val="both"/>
              <w:rPr>
                <w:b w:val="0"/>
                <w:lang w:val="en-GB"/>
              </w:rPr>
            </w:pPr>
            <w:r w:rsidRPr="004A20B8">
              <w:rPr>
                <w:b w:val="0"/>
                <w:i/>
                <w:lang w:val="en-GB"/>
              </w:rPr>
              <w:t>Business consultations and advisory services</w:t>
            </w:r>
            <w:r w:rsidRPr="004A20B8">
              <w:rPr>
                <w:b w:val="0"/>
                <w:lang w:val="en-GB"/>
              </w:rPr>
              <w:t xml:space="preserve"> (group or individual) will be </w:t>
            </w:r>
            <w:r w:rsidR="009C0E65">
              <w:rPr>
                <w:b w:val="0"/>
                <w:lang w:val="en-GB"/>
              </w:rPr>
              <w:t>offered</w:t>
            </w:r>
            <w:r w:rsidRPr="004A20B8">
              <w:rPr>
                <w:b w:val="0"/>
                <w:lang w:val="en-GB"/>
              </w:rPr>
              <w:t xml:space="preserve"> to local SMEs and students</w:t>
            </w:r>
            <w:r w:rsidR="009C0E65">
              <w:rPr>
                <w:b w:val="0"/>
                <w:lang w:val="en-GB"/>
              </w:rPr>
              <w:t xml:space="preserve">/young people in order </w:t>
            </w:r>
            <w:r w:rsidRPr="004A20B8">
              <w:rPr>
                <w:b w:val="0"/>
                <w:lang w:val="en-GB"/>
              </w:rPr>
              <w:t xml:space="preserve">to help them </w:t>
            </w:r>
            <w:r w:rsidR="009C0E65">
              <w:rPr>
                <w:b w:val="0"/>
                <w:lang w:val="en-GB"/>
              </w:rPr>
              <w:t>launch or develop their business</w:t>
            </w:r>
            <w:r w:rsidRPr="004A20B8">
              <w:rPr>
                <w:b w:val="0"/>
                <w:lang w:val="en-GB"/>
              </w:rPr>
              <w:t>.</w:t>
            </w:r>
            <w:r w:rsidR="00C971F9" w:rsidRPr="004A20B8">
              <w:rPr>
                <w:b w:val="0"/>
                <w:lang w:val="en-GB"/>
              </w:rPr>
              <w:t xml:space="preserve"> </w:t>
            </w:r>
          </w:p>
        </w:tc>
      </w:tr>
      <w:tr w:rsidR="001A7601" w:rsidRPr="004A20B8" w14:paraId="72946D59" w14:textId="77777777" w:rsidTr="001A7601">
        <w:tc>
          <w:tcPr>
            <w:cnfStyle w:val="001000000000" w:firstRow="0" w:lastRow="0" w:firstColumn="1" w:lastColumn="0" w:oddVBand="0" w:evenVBand="0" w:oddHBand="0" w:evenHBand="0" w:firstRowFirstColumn="0" w:firstRowLastColumn="0" w:lastRowFirstColumn="0" w:lastRowLastColumn="0"/>
            <w:tcW w:w="10490" w:type="dxa"/>
            <w:tcBorders>
              <w:top w:val="nil"/>
              <w:left w:val="single" w:sz="8" w:space="0" w:color="4BACC6" w:themeColor="accent5"/>
              <w:bottom w:val="nil"/>
              <w:right w:val="single" w:sz="8" w:space="0" w:color="4BACC6" w:themeColor="accent5"/>
            </w:tcBorders>
          </w:tcPr>
          <w:p w14:paraId="129A9B2F" w14:textId="77777777" w:rsidR="009C0E65" w:rsidRPr="009C0E65" w:rsidRDefault="009C0E65" w:rsidP="001A7601">
            <w:pPr>
              <w:ind w:right="-142"/>
              <w:jc w:val="both"/>
              <w:rPr>
                <w:color w:val="244061"/>
                <w:szCs w:val="28"/>
                <w:lang w:val="en-GB"/>
              </w:rPr>
            </w:pPr>
          </w:p>
          <w:p w14:paraId="609FDDEB" w14:textId="77777777" w:rsidR="001A7601" w:rsidRPr="004A20B8" w:rsidRDefault="001A7601" w:rsidP="001A7601">
            <w:pPr>
              <w:ind w:right="-142"/>
              <w:jc w:val="both"/>
              <w:rPr>
                <w:color w:val="244061"/>
                <w:sz w:val="28"/>
                <w:szCs w:val="28"/>
                <w:lang w:val="en-GB"/>
              </w:rPr>
            </w:pPr>
            <w:r w:rsidRPr="004A20B8">
              <w:rPr>
                <w:color w:val="244061"/>
                <w:sz w:val="28"/>
                <w:szCs w:val="28"/>
                <w:lang w:val="en-GB"/>
              </w:rPr>
              <w:t>ESTIMATED RESULTS</w:t>
            </w:r>
          </w:p>
          <w:p w14:paraId="701166A5" w14:textId="77777777" w:rsidR="00451FE0" w:rsidRPr="009C0E65" w:rsidRDefault="00451FE0" w:rsidP="001A7601">
            <w:pPr>
              <w:ind w:right="-142"/>
              <w:jc w:val="both"/>
              <w:rPr>
                <w:color w:val="244061"/>
                <w:szCs w:val="28"/>
                <w:lang w:val="en-GB"/>
              </w:rPr>
            </w:pPr>
          </w:p>
          <w:p w14:paraId="669BC5D2" w14:textId="11414682" w:rsidR="00C42A90" w:rsidRPr="004A20B8" w:rsidRDefault="00AE6CD6" w:rsidP="00AE6CD6">
            <w:pPr>
              <w:pStyle w:val="a6"/>
              <w:numPr>
                <w:ilvl w:val="0"/>
                <w:numId w:val="6"/>
              </w:numPr>
              <w:jc w:val="both"/>
              <w:rPr>
                <w:lang w:val="en-GB"/>
              </w:rPr>
            </w:pPr>
            <w:r w:rsidRPr="004A20B8">
              <w:rPr>
                <w:lang w:val="en-GB"/>
              </w:rPr>
              <w:t>45</w:t>
            </w:r>
            <w:r w:rsidR="00C42A90" w:rsidRPr="004A20B8">
              <w:rPr>
                <w:b w:val="0"/>
                <w:lang w:val="en-GB"/>
              </w:rPr>
              <w:t xml:space="preserve"> </w:t>
            </w:r>
            <w:r w:rsidR="00C1524F">
              <w:rPr>
                <w:b w:val="0"/>
                <w:lang w:val="en-GB"/>
              </w:rPr>
              <w:t>SMEs will improve</w:t>
            </w:r>
            <w:r w:rsidR="00C42A90" w:rsidRPr="004A20B8">
              <w:rPr>
                <w:b w:val="0"/>
                <w:lang w:val="en-GB"/>
              </w:rPr>
              <w:t xml:space="preserve"> their skills in the tourism development sector; </w:t>
            </w:r>
          </w:p>
          <w:p w14:paraId="0100E920" w14:textId="4EC85A56" w:rsidR="00973DC0" w:rsidRPr="004A20B8" w:rsidRDefault="00973DC0" w:rsidP="00614F15">
            <w:pPr>
              <w:pStyle w:val="a6"/>
              <w:numPr>
                <w:ilvl w:val="0"/>
                <w:numId w:val="6"/>
              </w:numPr>
              <w:jc w:val="both"/>
              <w:rPr>
                <w:b w:val="0"/>
                <w:lang w:val="en-GB"/>
              </w:rPr>
            </w:pPr>
            <w:r w:rsidRPr="004A20B8">
              <w:rPr>
                <w:b w:val="0"/>
                <w:lang w:val="en-GB"/>
              </w:rPr>
              <w:t>At least</w:t>
            </w:r>
            <w:r w:rsidRPr="004A20B8">
              <w:rPr>
                <w:lang w:val="en-GB"/>
              </w:rPr>
              <w:t xml:space="preserve"> 30 </w:t>
            </w:r>
            <w:r w:rsidRPr="004A20B8">
              <w:rPr>
                <w:b w:val="0"/>
                <w:lang w:val="en-GB"/>
              </w:rPr>
              <w:t>students</w:t>
            </w:r>
            <w:r w:rsidR="00582A9F">
              <w:rPr>
                <w:b w:val="0"/>
                <w:lang w:val="en-GB"/>
              </w:rPr>
              <w:t>/young people</w:t>
            </w:r>
            <w:r w:rsidRPr="004A20B8">
              <w:rPr>
                <w:b w:val="0"/>
                <w:lang w:val="en-GB"/>
              </w:rPr>
              <w:t xml:space="preserve"> </w:t>
            </w:r>
            <w:r w:rsidR="00582A9F">
              <w:rPr>
                <w:b w:val="0"/>
                <w:lang w:val="en-GB"/>
              </w:rPr>
              <w:t xml:space="preserve">a year will take part in </w:t>
            </w:r>
            <w:r w:rsidR="00614F15" w:rsidRPr="004A20B8">
              <w:rPr>
                <w:b w:val="0"/>
                <w:lang w:val="en-GB"/>
              </w:rPr>
              <w:t xml:space="preserve">the training </w:t>
            </w:r>
            <w:r w:rsidR="00582A9F">
              <w:rPr>
                <w:b w:val="0"/>
                <w:lang w:val="en-GB"/>
              </w:rPr>
              <w:t xml:space="preserve">programmes to further develop their careers </w:t>
            </w:r>
            <w:r w:rsidR="00614F15" w:rsidRPr="004A20B8">
              <w:rPr>
                <w:b w:val="0"/>
                <w:lang w:val="en-GB"/>
              </w:rPr>
              <w:t>in tourism;</w:t>
            </w:r>
          </w:p>
          <w:p w14:paraId="1AFC3051" w14:textId="103AB67B" w:rsidR="00AE6CD6" w:rsidRPr="004A20B8" w:rsidRDefault="005121E8" w:rsidP="00614F15">
            <w:pPr>
              <w:pStyle w:val="a6"/>
              <w:numPr>
                <w:ilvl w:val="0"/>
                <w:numId w:val="6"/>
              </w:numPr>
              <w:jc w:val="both"/>
              <w:rPr>
                <w:b w:val="0"/>
                <w:lang w:val="en-GB"/>
              </w:rPr>
            </w:pPr>
            <w:r w:rsidRPr="004A20B8">
              <w:rPr>
                <w:b w:val="0"/>
                <w:lang w:val="en-GB"/>
              </w:rPr>
              <w:t xml:space="preserve">At least </w:t>
            </w:r>
            <w:r w:rsidR="00AE6CD6" w:rsidRPr="004A20B8">
              <w:rPr>
                <w:lang w:val="en-GB"/>
              </w:rPr>
              <w:t>7</w:t>
            </w:r>
            <w:r w:rsidR="00582A9F">
              <w:rPr>
                <w:b w:val="0"/>
                <w:lang w:val="en-GB"/>
              </w:rPr>
              <w:t xml:space="preserve"> work spaces</w:t>
            </w:r>
            <w:r w:rsidR="00AE6CD6" w:rsidRPr="004A20B8">
              <w:rPr>
                <w:b w:val="0"/>
                <w:lang w:val="en-GB"/>
              </w:rPr>
              <w:t>/workshops (200m</w:t>
            </w:r>
            <w:r w:rsidR="00AE6CD6" w:rsidRPr="00582A9F">
              <w:rPr>
                <w:b w:val="0"/>
                <w:vertAlign w:val="superscript"/>
                <w:lang w:val="en-GB"/>
              </w:rPr>
              <w:t>2</w:t>
            </w:r>
            <w:r w:rsidR="00582A9F">
              <w:rPr>
                <w:b w:val="0"/>
                <w:lang w:val="en-GB"/>
              </w:rPr>
              <w:t xml:space="preserve"> in total</w:t>
            </w:r>
            <w:r w:rsidR="008C7D17" w:rsidRPr="004A20B8">
              <w:rPr>
                <w:b w:val="0"/>
                <w:lang w:val="en-GB"/>
              </w:rPr>
              <w:t xml:space="preserve">) </w:t>
            </w:r>
            <w:r w:rsidR="00582A9F">
              <w:rPr>
                <w:b w:val="0"/>
                <w:lang w:val="en-GB"/>
              </w:rPr>
              <w:t xml:space="preserve">will be set up within </w:t>
            </w:r>
            <w:r w:rsidR="00C1524F">
              <w:rPr>
                <w:b w:val="0"/>
                <w:lang w:val="en-GB"/>
              </w:rPr>
              <w:t xml:space="preserve">the </w:t>
            </w:r>
            <w:r w:rsidR="00AE6CD6" w:rsidRPr="004A20B8">
              <w:rPr>
                <w:b w:val="0"/>
                <w:lang w:val="en-GB"/>
              </w:rPr>
              <w:t>Gori</w:t>
            </w:r>
            <w:r w:rsidR="00582A9F">
              <w:rPr>
                <w:b w:val="0"/>
                <w:lang w:val="en-GB"/>
              </w:rPr>
              <w:t>’s Museum of History and Ethnography</w:t>
            </w:r>
            <w:r w:rsidR="00AE6CD6" w:rsidRPr="004A20B8">
              <w:rPr>
                <w:b w:val="0"/>
                <w:lang w:val="en-GB"/>
              </w:rPr>
              <w:t xml:space="preserve"> </w:t>
            </w:r>
            <w:r w:rsidR="00582A9F">
              <w:rPr>
                <w:b w:val="0"/>
                <w:lang w:val="en-GB"/>
              </w:rPr>
              <w:t xml:space="preserve">for the production of </w:t>
            </w:r>
            <w:r w:rsidR="00AE6CD6" w:rsidRPr="004A20B8">
              <w:rPr>
                <w:b w:val="0"/>
                <w:lang w:val="en-GB"/>
              </w:rPr>
              <w:t>national handicrafts and/or other national-related souvenirs and products;</w:t>
            </w:r>
          </w:p>
          <w:p w14:paraId="57D65609" w14:textId="5BF683FA" w:rsidR="001203CD" w:rsidRPr="004A20B8" w:rsidRDefault="00582A9F" w:rsidP="00614F15">
            <w:pPr>
              <w:pStyle w:val="a6"/>
              <w:numPr>
                <w:ilvl w:val="0"/>
                <w:numId w:val="6"/>
              </w:numPr>
              <w:jc w:val="both"/>
              <w:rPr>
                <w:b w:val="0"/>
                <w:lang w:val="en-GB"/>
              </w:rPr>
            </w:pPr>
            <w:r>
              <w:rPr>
                <w:b w:val="0"/>
                <w:lang w:val="en-GB"/>
              </w:rPr>
              <w:t xml:space="preserve">Over </w:t>
            </w:r>
            <w:r w:rsidR="001203CD" w:rsidRPr="004A20B8">
              <w:rPr>
                <w:lang w:val="en-GB"/>
              </w:rPr>
              <w:t xml:space="preserve">20 </w:t>
            </w:r>
            <w:r>
              <w:rPr>
                <w:b w:val="0"/>
                <w:lang w:val="en-GB"/>
              </w:rPr>
              <w:t xml:space="preserve">jobs will be </w:t>
            </w:r>
            <w:r w:rsidR="001203CD" w:rsidRPr="004A20B8">
              <w:rPr>
                <w:b w:val="0"/>
                <w:lang w:val="en-GB"/>
              </w:rPr>
              <w:t xml:space="preserve">created in different parts of </w:t>
            </w:r>
            <w:r w:rsidR="009669F1">
              <w:rPr>
                <w:b w:val="0"/>
                <w:lang w:val="en-GB"/>
              </w:rPr>
              <w:t xml:space="preserve">the </w:t>
            </w:r>
            <w:r w:rsidR="009669F1" w:rsidRPr="004A20B8">
              <w:rPr>
                <w:b w:val="0"/>
                <w:lang w:val="en-GB"/>
              </w:rPr>
              <w:t xml:space="preserve">tourism infrastructure </w:t>
            </w:r>
            <w:r w:rsidR="001203CD" w:rsidRPr="004A20B8">
              <w:rPr>
                <w:b w:val="0"/>
                <w:lang w:val="en-GB"/>
              </w:rPr>
              <w:t>complex in Gori.</w:t>
            </w:r>
          </w:p>
          <w:p w14:paraId="54AF8EF7" w14:textId="77777777" w:rsidR="001203CD" w:rsidRPr="004A20B8" w:rsidRDefault="001203CD" w:rsidP="001203CD">
            <w:pPr>
              <w:pStyle w:val="a6"/>
              <w:jc w:val="both"/>
              <w:rPr>
                <w:b w:val="0"/>
                <w:lang w:val="en-GB"/>
              </w:rPr>
            </w:pPr>
          </w:p>
          <w:p w14:paraId="6E0C8D44" w14:textId="7674C496" w:rsidR="00ED51EF" w:rsidRPr="004A20B8" w:rsidRDefault="00582A9F" w:rsidP="00582A9F">
            <w:pPr>
              <w:jc w:val="both"/>
              <w:rPr>
                <w:b w:val="0"/>
                <w:lang w:val="en-GB"/>
              </w:rPr>
            </w:pPr>
            <w:r>
              <w:rPr>
                <w:b w:val="0"/>
                <w:lang w:val="en-GB"/>
              </w:rPr>
              <w:t>In terms of outcomes</w:t>
            </w:r>
            <w:r w:rsidR="005121E8" w:rsidRPr="004A20B8">
              <w:rPr>
                <w:b w:val="0"/>
                <w:lang w:val="en-GB"/>
              </w:rPr>
              <w:t xml:space="preserve">, </w:t>
            </w:r>
            <w:r w:rsidR="00042A86" w:rsidRPr="004A20B8">
              <w:rPr>
                <w:b w:val="0"/>
                <w:lang w:val="en-GB"/>
              </w:rPr>
              <w:t>the Project will</w:t>
            </w:r>
            <w:r w:rsidR="00F3064C" w:rsidRPr="004A20B8">
              <w:rPr>
                <w:b w:val="0"/>
                <w:lang w:val="en-GB"/>
              </w:rPr>
              <w:t xml:space="preserve"> contribute</w:t>
            </w:r>
            <w:r w:rsidR="00042A86" w:rsidRPr="004A20B8">
              <w:rPr>
                <w:b w:val="0"/>
                <w:lang w:val="en-GB"/>
              </w:rPr>
              <w:t xml:space="preserve"> to</w:t>
            </w:r>
            <w:r w:rsidR="00F3064C" w:rsidRPr="004A20B8">
              <w:rPr>
                <w:b w:val="0"/>
                <w:lang w:val="en-GB"/>
              </w:rPr>
              <w:t xml:space="preserve"> local economic development </w:t>
            </w:r>
            <w:r w:rsidR="00002376" w:rsidRPr="004A20B8">
              <w:rPr>
                <w:b w:val="0"/>
                <w:lang w:val="en-GB"/>
              </w:rPr>
              <w:t xml:space="preserve">and </w:t>
            </w:r>
            <w:r w:rsidR="00F3064C" w:rsidRPr="004A20B8">
              <w:rPr>
                <w:b w:val="0"/>
                <w:lang w:val="en-GB"/>
              </w:rPr>
              <w:t>sustainable economic growth</w:t>
            </w:r>
            <w:r w:rsidR="00A810C4" w:rsidRPr="004A20B8">
              <w:rPr>
                <w:b w:val="0"/>
                <w:lang w:val="en-GB"/>
              </w:rPr>
              <w:t xml:space="preserve"> in Gori </w:t>
            </w:r>
            <w:r>
              <w:rPr>
                <w:b w:val="0"/>
                <w:lang w:val="en-GB"/>
              </w:rPr>
              <w:t>m</w:t>
            </w:r>
            <w:r w:rsidR="00A810C4" w:rsidRPr="004A20B8">
              <w:rPr>
                <w:b w:val="0"/>
                <w:lang w:val="en-GB"/>
              </w:rPr>
              <w:t>unicipality</w:t>
            </w:r>
            <w:r w:rsidR="00042A86" w:rsidRPr="004A20B8">
              <w:rPr>
                <w:b w:val="0"/>
                <w:lang w:val="en-GB"/>
              </w:rPr>
              <w:t xml:space="preserve">. </w:t>
            </w:r>
            <w:r w:rsidR="00F22AAA" w:rsidRPr="004A20B8">
              <w:rPr>
                <w:b w:val="0"/>
                <w:lang w:val="en-GB"/>
              </w:rPr>
              <w:t xml:space="preserve">The </w:t>
            </w:r>
            <w:r w:rsidR="00F3064C" w:rsidRPr="004A20B8">
              <w:rPr>
                <w:b w:val="0"/>
                <w:lang w:val="en-GB"/>
              </w:rPr>
              <w:t xml:space="preserve">development of </w:t>
            </w:r>
            <w:r w:rsidR="00F22AAA" w:rsidRPr="004A20B8">
              <w:rPr>
                <w:b w:val="0"/>
                <w:lang w:val="en-GB"/>
              </w:rPr>
              <w:t>new tourism</w:t>
            </w:r>
            <w:r w:rsidR="00F3064C" w:rsidRPr="004A20B8">
              <w:rPr>
                <w:b w:val="0"/>
                <w:lang w:val="en-GB"/>
              </w:rPr>
              <w:t xml:space="preserve"> infrastructure </w:t>
            </w:r>
            <w:r w:rsidR="00F22AAA" w:rsidRPr="004A20B8">
              <w:rPr>
                <w:b w:val="0"/>
                <w:lang w:val="en-GB"/>
              </w:rPr>
              <w:t>will</w:t>
            </w:r>
            <w:r w:rsidR="00002376" w:rsidRPr="004A20B8">
              <w:rPr>
                <w:b w:val="0"/>
                <w:lang w:val="en-GB"/>
              </w:rPr>
              <w:t xml:space="preserve"> </w:t>
            </w:r>
            <w:r w:rsidR="00F3064C" w:rsidRPr="004A20B8">
              <w:rPr>
                <w:b w:val="0"/>
                <w:lang w:val="en-GB"/>
              </w:rPr>
              <w:t xml:space="preserve">attract more </w:t>
            </w:r>
            <w:r w:rsidR="00002376" w:rsidRPr="004A20B8">
              <w:rPr>
                <w:b w:val="0"/>
                <w:lang w:val="en-GB"/>
              </w:rPr>
              <w:t xml:space="preserve">external </w:t>
            </w:r>
            <w:r w:rsidR="00C1524F">
              <w:rPr>
                <w:b w:val="0"/>
                <w:lang w:val="en-GB"/>
              </w:rPr>
              <w:t>investment</w:t>
            </w:r>
            <w:r w:rsidR="00F22AAA" w:rsidRPr="004A20B8">
              <w:rPr>
                <w:b w:val="0"/>
                <w:lang w:val="en-GB"/>
              </w:rPr>
              <w:t xml:space="preserve">, create </w:t>
            </w:r>
            <w:r w:rsidR="00F3064C" w:rsidRPr="004A20B8">
              <w:rPr>
                <w:b w:val="0"/>
                <w:lang w:val="en-GB"/>
              </w:rPr>
              <w:t xml:space="preserve">new </w:t>
            </w:r>
            <w:r w:rsidR="00F22AAA" w:rsidRPr="004A20B8">
              <w:rPr>
                <w:b w:val="0"/>
                <w:lang w:val="en-GB"/>
              </w:rPr>
              <w:t xml:space="preserve">job opportunities for young people and will </w:t>
            </w:r>
            <w:r>
              <w:rPr>
                <w:b w:val="0"/>
                <w:lang w:val="en-GB"/>
              </w:rPr>
              <w:t xml:space="preserve">increase the </w:t>
            </w:r>
            <w:r w:rsidR="00042A86" w:rsidRPr="004A20B8">
              <w:rPr>
                <w:b w:val="0"/>
                <w:lang w:val="en-GB"/>
              </w:rPr>
              <w:t xml:space="preserve">income of </w:t>
            </w:r>
            <w:r w:rsidR="00F22AAA" w:rsidRPr="004A20B8">
              <w:rPr>
                <w:b w:val="0"/>
                <w:lang w:val="en-GB"/>
              </w:rPr>
              <w:t xml:space="preserve">local SMEs </w:t>
            </w:r>
            <w:r w:rsidR="00042A86" w:rsidRPr="004A20B8">
              <w:rPr>
                <w:b w:val="0"/>
                <w:lang w:val="en-GB"/>
              </w:rPr>
              <w:t>in</w:t>
            </w:r>
            <w:r w:rsidR="00C971F9" w:rsidRPr="004A20B8">
              <w:rPr>
                <w:b w:val="0"/>
                <w:lang w:val="en-GB"/>
              </w:rPr>
              <w:t xml:space="preserve"> the tourism sector. </w:t>
            </w:r>
          </w:p>
        </w:tc>
      </w:tr>
      <w:tr w:rsidR="001A7601" w:rsidRPr="004A20B8" w14:paraId="3B4DE2F2" w14:textId="77777777" w:rsidTr="001A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hideMark/>
          </w:tcPr>
          <w:p w14:paraId="4333F514" w14:textId="77777777" w:rsidR="00D16485" w:rsidRPr="004A20B8" w:rsidRDefault="00D16485" w:rsidP="00CD4167">
            <w:pPr>
              <w:jc w:val="both"/>
              <w:rPr>
                <w:b w:val="0"/>
                <w:lang w:val="en-GB"/>
              </w:rPr>
            </w:pPr>
          </w:p>
        </w:tc>
      </w:tr>
    </w:tbl>
    <w:p w14:paraId="36084039" w14:textId="77777777" w:rsidR="002239F2" w:rsidRPr="004A20B8" w:rsidRDefault="002239F2" w:rsidP="002239F2">
      <w:pPr>
        <w:ind w:right="-142"/>
        <w:jc w:val="both"/>
        <w:rPr>
          <w:rFonts w:ascii="Calibri" w:eastAsia="Calibri" w:hAnsi="Calibri" w:cs="Calibri"/>
          <w:b/>
          <w:color w:val="1F497D" w:themeColor="text2"/>
          <w:sz w:val="28"/>
          <w:szCs w:val="28"/>
          <w:lang w:val="en-GB"/>
        </w:rPr>
      </w:pPr>
    </w:p>
    <w:tbl>
      <w:tblPr>
        <w:tblStyle w:val="-53"/>
        <w:tblW w:w="10490" w:type="dxa"/>
        <w:tblInd w:w="-601" w:type="dxa"/>
        <w:tblLook w:val="04A0" w:firstRow="1" w:lastRow="0" w:firstColumn="1" w:lastColumn="0" w:noHBand="0" w:noVBand="1"/>
      </w:tblPr>
      <w:tblGrid>
        <w:gridCol w:w="10490"/>
      </w:tblGrid>
      <w:tr w:rsidR="002239F2" w:rsidRPr="004A20B8" w14:paraId="5E858E0D" w14:textId="77777777" w:rsidTr="001A7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hideMark/>
          </w:tcPr>
          <w:p w14:paraId="75948A2B" w14:textId="77777777" w:rsidR="002239F2" w:rsidRPr="004A20B8" w:rsidRDefault="002239F2" w:rsidP="001A7CA4">
            <w:pPr>
              <w:jc w:val="both"/>
              <w:rPr>
                <w:b w:val="0"/>
                <w:lang w:val="en-GB"/>
              </w:rPr>
            </w:pPr>
          </w:p>
        </w:tc>
      </w:tr>
    </w:tbl>
    <w:p w14:paraId="0C72A1FD" w14:textId="1DF1C0C6" w:rsidR="005E3A1A" w:rsidRDefault="0077615F" w:rsidP="005E3A1A">
      <w:pPr>
        <w:spacing w:after="0"/>
        <w:jc w:val="both"/>
        <w:rPr>
          <w:rFonts w:ascii="Calibri" w:eastAsia="Calibri" w:hAnsi="Calibri" w:cs="Times New Roman"/>
          <w:color w:val="000000" w:themeColor="text1"/>
          <w:sz w:val="18"/>
          <w:szCs w:val="18"/>
          <w:lang w:val="en-US"/>
        </w:rPr>
      </w:pPr>
      <w:r>
        <w:rPr>
          <w:rFonts w:ascii="Calibri" w:eastAsia="Calibri" w:hAnsi="Calibri" w:cs="Times New Roman"/>
          <w:color w:val="000000" w:themeColor="text1"/>
          <w:sz w:val="18"/>
          <w:szCs w:val="18"/>
          <w:lang w:val="en-US"/>
        </w:rPr>
        <w:t>The pioneer project “Empowering Local Economic Opportunities for Sustainable Growth</w:t>
      </w:r>
      <w:r w:rsidR="005E3A1A">
        <w:rPr>
          <w:rFonts w:ascii="Calibri" w:eastAsia="Calibri" w:hAnsi="Calibri" w:cs="Times New Roman"/>
          <w:color w:val="000000" w:themeColor="text1"/>
          <w:sz w:val="18"/>
          <w:szCs w:val="18"/>
          <w:lang w:val="en-US"/>
        </w:rPr>
        <w:t>”</w:t>
      </w:r>
      <w:r>
        <w:rPr>
          <w:rFonts w:ascii="Calibri" w:eastAsia="Calibri" w:hAnsi="Calibri" w:cs="Times New Roman"/>
          <w:color w:val="000000" w:themeColor="text1"/>
          <w:sz w:val="18"/>
          <w:szCs w:val="18"/>
          <w:lang w:val="en-US"/>
        </w:rPr>
        <w:t xml:space="preserve"> is being implemented in Georgia</w:t>
      </w:r>
      <w:r w:rsidR="005E3A1A">
        <w:rPr>
          <w:rFonts w:ascii="Calibri" w:eastAsia="Calibri" w:hAnsi="Calibri" w:cs="Times New Roman"/>
          <w:color w:val="000000" w:themeColor="text1"/>
          <w:sz w:val="18"/>
          <w:szCs w:val="18"/>
          <w:lang w:val="en-US"/>
        </w:rPr>
        <w:t xml:space="preserve"> as part of the Mayors for Economic Growth (M4EG) Initiative. </w:t>
      </w:r>
      <w:r w:rsidR="005E3A1A">
        <w:rPr>
          <w:rFonts w:cs="Calibri"/>
          <w:sz w:val="18"/>
          <w:szCs w:val="18"/>
          <w:lang w:val="en-US"/>
        </w:rPr>
        <w:t xml:space="preserve">The M4EG Initiative began to operate in January 2017 within the Eastern Partnership framework. Its overall goal is to help mayors and municipalities in Eastern Partnership countries to become active facilitators for economic growth and job creation at local levels. </w:t>
      </w:r>
      <w:r w:rsidR="005E3A1A">
        <w:rPr>
          <w:rFonts w:eastAsia="Times New Roman" w:cs="Calibri"/>
          <w:sz w:val="18"/>
          <w:szCs w:val="18"/>
          <w:lang w:val="en-US"/>
        </w:rPr>
        <w:t xml:space="preserve">For more information, please visit </w:t>
      </w:r>
      <w:hyperlink r:id="rId10" w:history="1">
        <w:r w:rsidR="005E3A1A">
          <w:rPr>
            <w:rStyle w:val="a7"/>
            <w:rFonts w:eastAsia="Times New Roman" w:cs="Calibri"/>
            <w:sz w:val="18"/>
            <w:szCs w:val="18"/>
            <w:lang w:val="en-US"/>
          </w:rPr>
          <w:t>www.m4eg.eu</w:t>
        </w:r>
      </w:hyperlink>
      <w:r w:rsidR="005E3A1A">
        <w:rPr>
          <w:rFonts w:eastAsia="Times New Roman" w:cs="Calibri"/>
          <w:sz w:val="18"/>
          <w:szCs w:val="18"/>
          <w:lang w:val="en-US"/>
        </w:rPr>
        <w:t xml:space="preserve">. </w:t>
      </w:r>
    </w:p>
    <w:p w14:paraId="24BD1837" w14:textId="77777777" w:rsidR="005E3A1A" w:rsidRDefault="00D9510B" w:rsidP="005E3A1A">
      <w:pPr>
        <w:tabs>
          <w:tab w:val="left" w:pos="1890"/>
          <w:tab w:val="left" w:pos="6170"/>
          <w:tab w:val="left" w:pos="6700"/>
        </w:tabs>
        <w:ind w:right="-142"/>
        <w:rPr>
          <w:b/>
          <w:color w:val="000000"/>
          <w:sz w:val="16"/>
          <w:szCs w:val="16"/>
          <w:lang w:val="en-US"/>
        </w:rPr>
      </w:pPr>
      <w:r>
        <w:pict w14:anchorId="05BE7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15pt;margin-top:-.1pt;width:59pt;height:38.5pt;z-index:251674624;visibility:visible" o:allowoverlap="f">
            <v:imagedata r:id="rId11" o:title=""/>
          </v:shape>
          <o:OLEObject Type="Embed" ProgID="Word.Picture.8" ShapeID="_x0000_s1029" DrawAspect="Content" ObjectID="_1595965227" r:id="rId12"/>
        </w:pict>
      </w:r>
    </w:p>
    <w:p w14:paraId="0556BD64" w14:textId="77777777" w:rsidR="005E3A1A" w:rsidRDefault="005E3A1A" w:rsidP="005E3A1A">
      <w:pPr>
        <w:spacing w:after="0"/>
        <w:ind w:left="-70"/>
        <w:rPr>
          <w:rFonts w:ascii="Myriad Pro" w:hAnsi="Myriad Pro"/>
          <w:color w:val="000000"/>
          <w:lang w:val="en-US"/>
        </w:rPr>
      </w:pPr>
      <w:r>
        <w:rPr>
          <w:color w:val="000000"/>
          <w:sz w:val="16"/>
          <w:szCs w:val="16"/>
          <w:lang w:val="en-US"/>
        </w:rPr>
        <w:t xml:space="preserve"> </w:t>
      </w:r>
    </w:p>
    <w:p w14:paraId="6BAC5CC6" w14:textId="77777777" w:rsidR="005E3A1A" w:rsidRDefault="005E3A1A" w:rsidP="005E3A1A">
      <w:pPr>
        <w:tabs>
          <w:tab w:val="left" w:pos="1890"/>
          <w:tab w:val="left" w:pos="6170"/>
          <w:tab w:val="left" w:pos="6700"/>
        </w:tabs>
        <w:ind w:right="-142"/>
        <w:rPr>
          <w:rFonts w:cstheme="minorHAnsi"/>
          <w:b/>
          <w:sz w:val="16"/>
          <w:szCs w:val="16"/>
          <w:lang w:val="en-US"/>
        </w:rPr>
      </w:pPr>
    </w:p>
    <w:p w14:paraId="4E7001A7" w14:textId="07034967" w:rsidR="005E3A1A" w:rsidRDefault="005E3A1A" w:rsidP="005E3A1A">
      <w:pPr>
        <w:tabs>
          <w:tab w:val="left" w:pos="1890"/>
          <w:tab w:val="left" w:pos="6170"/>
          <w:tab w:val="left" w:pos="6700"/>
        </w:tabs>
        <w:ind w:right="-142"/>
        <w:rPr>
          <w:rFonts w:cstheme="minorHAnsi"/>
          <w:b/>
          <w:color w:val="000000"/>
          <w:sz w:val="16"/>
          <w:szCs w:val="16"/>
          <w:lang w:val="en-US"/>
        </w:rPr>
      </w:pPr>
      <w:r>
        <w:rPr>
          <w:rFonts w:cstheme="minorHAnsi"/>
          <w:b/>
          <w:sz w:val="16"/>
          <w:szCs w:val="16"/>
          <w:lang w:val="en-US"/>
        </w:rPr>
        <w:t>This project is</w:t>
      </w:r>
      <w:r w:rsidR="00D9510B">
        <w:rPr>
          <w:rFonts w:cstheme="minorHAnsi"/>
          <w:b/>
          <w:sz w:val="16"/>
          <w:szCs w:val="16"/>
          <w:lang w:val="en-US"/>
        </w:rPr>
        <w:t xml:space="preserve"> funded by                     </w:t>
      </w:r>
      <w:bookmarkStart w:id="0" w:name="_GoBack"/>
      <w:bookmarkEnd w:id="0"/>
      <w:r>
        <w:rPr>
          <w:rFonts w:cstheme="minorHAnsi"/>
          <w:sz w:val="16"/>
          <w:szCs w:val="16"/>
          <w:lang w:val="en-US"/>
        </w:rPr>
        <w:t xml:space="preserve">This publication was prepared within the framework of the Mayors for Economic Growth (M4EG) Project. </w:t>
      </w:r>
      <w:r>
        <w:rPr>
          <w:rFonts w:cstheme="minorHAnsi"/>
          <w:b/>
          <w:sz w:val="16"/>
          <w:szCs w:val="16"/>
          <w:lang w:val="en-US"/>
        </w:rPr>
        <w:t xml:space="preserve">            the European Union </w:t>
      </w:r>
      <w:r>
        <w:rPr>
          <w:rFonts w:cstheme="minorHAnsi"/>
          <w:sz w:val="16"/>
          <w:szCs w:val="16"/>
          <w:lang w:val="en-US"/>
        </w:rPr>
        <w:t xml:space="preserve">                 Its contents are the sole responsibility of its author(s), and do not necessarily reflect the views of the European Union. </w:t>
      </w:r>
    </w:p>
    <w:p w14:paraId="4A7E5249" w14:textId="374D65FF" w:rsidR="001A7601" w:rsidRPr="005E3A1A" w:rsidRDefault="001A7601" w:rsidP="005C0CBB">
      <w:pPr>
        <w:tabs>
          <w:tab w:val="left" w:pos="1890"/>
          <w:tab w:val="left" w:pos="6170"/>
          <w:tab w:val="left" w:pos="6700"/>
        </w:tabs>
        <w:ind w:right="-142"/>
        <w:rPr>
          <w:rFonts w:cstheme="minorHAnsi"/>
          <w:b/>
          <w:color w:val="000000"/>
          <w:sz w:val="16"/>
          <w:szCs w:val="16"/>
          <w:lang w:val="en-US"/>
        </w:rPr>
      </w:pPr>
    </w:p>
    <w:sectPr w:rsidR="001A7601" w:rsidRPr="005E3A1A">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B845B" w15:done="0"/>
  <w15:commentEx w15:paraId="426801EF" w15:done="0"/>
  <w15:commentEx w15:paraId="735BFD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55F"/>
    <w:multiLevelType w:val="hybridMultilevel"/>
    <w:tmpl w:val="616242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9E131B3"/>
    <w:multiLevelType w:val="hybridMultilevel"/>
    <w:tmpl w:val="16425174"/>
    <w:lvl w:ilvl="0" w:tplc="44D02D16">
      <w:start w:val="1"/>
      <w:numFmt w:val="decimal"/>
      <w:lvlText w:val="%1)"/>
      <w:lvlJc w:val="left"/>
      <w:pPr>
        <w:ind w:left="-207" w:hanging="360"/>
      </w:pPr>
      <w:rPr>
        <w:rFonts w:cs="Calibri"/>
      </w:rPr>
    </w:lvl>
    <w:lvl w:ilvl="1" w:tplc="04220019">
      <w:start w:val="1"/>
      <w:numFmt w:val="lowerLetter"/>
      <w:lvlText w:val="%2."/>
      <w:lvlJc w:val="left"/>
      <w:pPr>
        <w:ind w:left="513" w:hanging="360"/>
      </w:pPr>
    </w:lvl>
    <w:lvl w:ilvl="2" w:tplc="0422001B">
      <w:start w:val="1"/>
      <w:numFmt w:val="lowerRoman"/>
      <w:lvlText w:val="%3."/>
      <w:lvlJc w:val="right"/>
      <w:pPr>
        <w:ind w:left="1233" w:hanging="180"/>
      </w:pPr>
    </w:lvl>
    <w:lvl w:ilvl="3" w:tplc="0422000F">
      <w:start w:val="1"/>
      <w:numFmt w:val="decimal"/>
      <w:lvlText w:val="%4."/>
      <w:lvlJc w:val="left"/>
      <w:pPr>
        <w:ind w:left="1953" w:hanging="360"/>
      </w:pPr>
    </w:lvl>
    <w:lvl w:ilvl="4" w:tplc="04220019">
      <w:start w:val="1"/>
      <w:numFmt w:val="lowerLetter"/>
      <w:lvlText w:val="%5."/>
      <w:lvlJc w:val="left"/>
      <w:pPr>
        <w:ind w:left="2673" w:hanging="360"/>
      </w:pPr>
    </w:lvl>
    <w:lvl w:ilvl="5" w:tplc="0422001B">
      <w:start w:val="1"/>
      <w:numFmt w:val="lowerRoman"/>
      <w:lvlText w:val="%6."/>
      <w:lvlJc w:val="right"/>
      <w:pPr>
        <w:ind w:left="3393" w:hanging="180"/>
      </w:pPr>
    </w:lvl>
    <w:lvl w:ilvl="6" w:tplc="0422000F">
      <w:start w:val="1"/>
      <w:numFmt w:val="decimal"/>
      <w:lvlText w:val="%7."/>
      <w:lvlJc w:val="left"/>
      <w:pPr>
        <w:ind w:left="4113" w:hanging="360"/>
      </w:pPr>
    </w:lvl>
    <w:lvl w:ilvl="7" w:tplc="04220019">
      <w:start w:val="1"/>
      <w:numFmt w:val="lowerLetter"/>
      <w:lvlText w:val="%8."/>
      <w:lvlJc w:val="left"/>
      <w:pPr>
        <w:ind w:left="4833" w:hanging="360"/>
      </w:pPr>
    </w:lvl>
    <w:lvl w:ilvl="8" w:tplc="0422001B">
      <w:start w:val="1"/>
      <w:numFmt w:val="lowerRoman"/>
      <w:lvlText w:val="%9."/>
      <w:lvlJc w:val="right"/>
      <w:pPr>
        <w:ind w:left="5553" w:hanging="180"/>
      </w:pPr>
    </w:lvl>
  </w:abstractNum>
  <w:abstractNum w:abstractNumId="2">
    <w:nsid w:val="1A765356"/>
    <w:multiLevelType w:val="hybridMultilevel"/>
    <w:tmpl w:val="B34AA630"/>
    <w:lvl w:ilvl="0" w:tplc="A4A626B0">
      <w:start w:val="1"/>
      <w:numFmt w:val="decimal"/>
      <w:lvlText w:val="%1."/>
      <w:lvlJc w:val="left"/>
      <w:pPr>
        <w:ind w:left="720" w:hanging="360"/>
      </w:pPr>
      <w:rPr>
        <w:b w:val="0"/>
        <w:color w:val="1F497D" w:themeColor="text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F817215"/>
    <w:multiLevelType w:val="hybridMultilevel"/>
    <w:tmpl w:val="B0DC62F6"/>
    <w:lvl w:ilvl="0" w:tplc="CEB820FC">
      <w:numFmt w:val="bullet"/>
      <w:lvlText w:val="-"/>
      <w:lvlJc w:val="left"/>
      <w:pPr>
        <w:ind w:left="410" w:hanging="360"/>
      </w:pPr>
      <w:rPr>
        <w:rFonts w:ascii="Calibri" w:eastAsia="Calibri" w:hAnsi="Calibri" w:cs="Calibr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4">
    <w:nsid w:val="54517EDF"/>
    <w:multiLevelType w:val="hybridMultilevel"/>
    <w:tmpl w:val="562066B2"/>
    <w:lvl w:ilvl="0" w:tplc="CC6CDE3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5B144AE4"/>
    <w:multiLevelType w:val="hybridMultilevel"/>
    <w:tmpl w:val="A8381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B">
    <w15:presenceInfo w15:providerId="None" w15:userId="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78"/>
    <w:rsid w:val="00000C60"/>
    <w:rsid w:val="00002376"/>
    <w:rsid w:val="00007634"/>
    <w:rsid w:val="000102B1"/>
    <w:rsid w:val="000244B6"/>
    <w:rsid w:val="00030838"/>
    <w:rsid w:val="0003769C"/>
    <w:rsid w:val="00037726"/>
    <w:rsid w:val="00042A86"/>
    <w:rsid w:val="00044978"/>
    <w:rsid w:val="00055072"/>
    <w:rsid w:val="00066B97"/>
    <w:rsid w:val="00075FBB"/>
    <w:rsid w:val="00083759"/>
    <w:rsid w:val="00095A52"/>
    <w:rsid w:val="00097084"/>
    <w:rsid w:val="000979AE"/>
    <w:rsid w:val="000A4F32"/>
    <w:rsid w:val="000A6C78"/>
    <w:rsid w:val="000C1B85"/>
    <w:rsid w:val="000C4F85"/>
    <w:rsid w:val="000F67F5"/>
    <w:rsid w:val="00104805"/>
    <w:rsid w:val="001157C5"/>
    <w:rsid w:val="001203CD"/>
    <w:rsid w:val="00122AB6"/>
    <w:rsid w:val="001411FD"/>
    <w:rsid w:val="001417F1"/>
    <w:rsid w:val="00150DF7"/>
    <w:rsid w:val="0016250F"/>
    <w:rsid w:val="001942CF"/>
    <w:rsid w:val="0019490B"/>
    <w:rsid w:val="001964E2"/>
    <w:rsid w:val="001A35C7"/>
    <w:rsid w:val="001A7601"/>
    <w:rsid w:val="001C255C"/>
    <w:rsid w:val="001C415A"/>
    <w:rsid w:val="001E4A14"/>
    <w:rsid w:val="001F44BB"/>
    <w:rsid w:val="002000C5"/>
    <w:rsid w:val="002116F2"/>
    <w:rsid w:val="0021248A"/>
    <w:rsid w:val="00214856"/>
    <w:rsid w:val="00216A9E"/>
    <w:rsid w:val="002222EE"/>
    <w:rsid w:val="002239F2"/>
    <w:rsid w:val="0024221E"/>
    <w:rsid w:val="00243EFE"/>
    <w:rsid w:val="0025137F"/>
    <w:rsid w:val="00252DC7"/>
    <w:rsid w:val="00261002"/>
    <w:rsid w:val="002B1912"/>
    <w:rsid w:val="002B6FF0"/>
    <w:rsid w:val="00336B13"/>
    <w:rsid w:val="00340598"/>
    <w:rsid w:val="00351371"/>
    <w:rsid w:val="00385C0E"/>
    <w:rsid w:val="00397398"/>
    <w:rsid w:val="003C37FF"/>
    <w:rsid w:val="003E0309"/>
    <w:rsid w:val="003F0264"/>
    <w:rsid w:val="00403187"/>
    <w:rsid w:val="00403FA0"/>
    <w:rsid w:val="00407E64"/>
    <w:rsid w:val="00415572"/>
    <w:rsid w:val="00421A33"/>
    <w:rsid w:val="004244E3"/>
    <w:rsid w:val="00437DDD"/>
    <w:rsid w:val="00451FE0"/>
    <w:rsid w:val="0046254C"/>
    <w:rsid w:val="00462921"/>
    <w:rsid w:val="00464C73"/>
    <w:rsid w:val="00471388"/>
    <w:rsid w:val="00473349"/>
    <w:rsid w:val="0048190D"/>
    <w:rsid w:val="004A20B8"/>
    <w:rsid w:val="004A621A"/>
    <w:rsid w:val="004A7AF4"/>
    <w:rsid w:val="004B16C3"/>
    <w:rsid w:val="004D3AA4"/>
    <w:rsid w:val="004D47A5"/>
    <w:rsid w:val="004E59F3"/>
    <w:rsid w:val="005121E8"/>
    <w:rsid w:val="00523666"/>
    <w:rsid w:val="00542D2C"/>
    <w:rsid w:val="0055714A"/>
    <w:rsid w:val="00572481"/>
    <w:rsid w:val="00582A9F"/>
    <w:rsid w:val="00585439"/>
    <w:rsid w:val="00594A7B"/>
    <w:rsid w:val="005A5A43"/>
    <w:rsid w:val="005B20BD"/>
    <w:rsid w:val="005C0CB6"/>
    <w:rsid w:val="005C0CBB"/>
    <w:rsid w:val="005D1642"/>
    <w:rsid w:val="005D41B7"/>
    <w:rsid w:val="005E3A1A"/>
    <w:rsid w:val="005F1A37"/>
    <w:rsid w:val="005F23C3"/>
    <w:rsid w:val="00607AED"/>
    <w:rsid w:val="00614F15"/>
    <w:rsid w:val="006247DC"/>
    <w:rsid w:val="00640C50"/>
    <w:rsid w:val="0067308A"/>
    <w:rsid w:val="00673DC8"/>
    <w:rsid w:val="006773B6"/>
    <w:rsid w:val="00694296"/>
    <w:rsid w:val="006B2C6B"/>
    <w:rsid w:val="006B41AB"/>
    <w:rsid w:val="006C475F"/>
    <w:rsid w:val="006C715D"/>
    <w:rsid w:val="006C7566"/>
    <w:rsid w:val="006D457B"/>
    <w:rsid w:val="006E10BB"/>
    <w:rsid w:val="006E189A"/>
    <w:rsid w:val="007001D4"/>
    <w:rsid w:val="00706AA0"/>
    <w:rsid w:val="00713A6E"/>
    <w:rsid w:val="00714707"/>
    <w:rsid w:val="00730ED5"/>
    <w:rsid w:val="007462F8"/>
    <w:rsid w:val="00767FB5"/>
    <w:rsid w:val="00772ADC"/>
    <w:rsid w:val="0077615F"/>
    <w:rsid w:val="00781DB2"/>
    <w:rsid w:val="00787D12"/>
    <w:rsid w:val="00793358"/>
    <w:rsid w:val="007A7282"/>
    <w:rsid w:val="007B6D21"/>
    <w:rsid w:val="007C3EB3"/>
    <w:rsid w:val="007E386A"/>
    <w:rsid w:val="007F74FA"/>
    <w:rsid w:val="008302F4"/>
    <w:rsid w:val="00833931"/>
    <w:rsid w:val="008408B6"/>
    <w:rsid w:val="00861249"/>
    <w:rsid w:val="00863E3E"/>
    <w:rsid w:val="00864845"/>
    <w:rsid w:val="008772BF"/>
    <w:rsid w:val="00880A3D"/>
    <w:rsid w:val="00887227"/>
    <w:rsid w:val="008937A6"/>
    <w:rsid w:val="008A1297"/>
    <w:rsid w:val="008C3CE2"/>
    <w:rsid w:val="008C7D17"/>
    <w:rsid w:val="008D4B68"/>
    <w:rsid w:val="0090793D"/>
    <w:rsid w:val="009116C4"/>
    <w:rsid w:val="00916BF8"/>
    <w:rsid w:val="00943E5B"/>
    <w:rsid w:val="00955EA5"/>
    <w:rsid w:val="009669F1"/>
    <w:rsid w:val="00973DC0"/>
    <w:rsid w:val="00986882"/>
    <w:rsid w:val="009B06E0"/>
    <w:rsid w:val="009C0E65"/>
    <w:rsid w:val="009C1FC3"/>
    <w:rsid w:val="009C6691"/>
    <w:rsid w:val="009D3D9F"/>
    <w:rsid w:val="009F0522"/>
    <w:rsid w:val="009F20FA"/>
    <w:rsid w:val="009F2AA0"/>
    <w:rsid w:val="00A00F85"/>
    <w:rsid w:val="00A54EBE"/>
    <w:rsid w:val="00A5633C"/>
    <w:rsid w:val="00A678DA"/>
    <w:rsid w:val="00A67D7D"/>
    <w:rsid w:val="00A73165"/>
    <w:rsid w:val="00A810C4"/>
    <w:rsid w:val="00A861CE"/>
    <w:rsid w:val="00AA20FC"/>
    <w:rsid w:val="00AA4DFF"/>
    <w:rsid w:val="00AB0116"/>
    <w:rsid w:val="00AB01BF"/>
    <w:rsid w:val="00AB1922"/>
    <w:rsid w:val="00AC2041"/>
    <w:rsid w:val="00AE089A"/>
    <w:rsid w:val="00AE2A74"/>
    <w:rsid w:val="00AE6CD6"/>
    <w:rsid w:val="00B00A3E"/>
    <w:rsid w:val="00B045AC"/>
    <w:rsid w:val="00B0788A"/>
    <w:rsid w:val="00B113EB"/>
    <w:rsid w:val="00B14EEA"/>
    <w:rsid w:val="00B22D18"/>
    <w:rsid w:val="00B31876"/>
    <w:rsid w:val="00B5459E"/>
    <w:rsid w:val="00B65C63"/>
    <w:rsid w:val="00B73383"/>
    <w:rsid w:val="00B7725A"/>
    <w:rsid w:val="00B97178"/>
    <w:rsid w:val="00BA00DB"/>
    <w:rsid w:val="00BC254B"/>
    <w:rsid w:val="00BC62A5"/>
    <w:rsid w:val="00BD57FF"/>
    <w:rsid w:val="00BE02E2"/>
    <w:rsid w:val="00BF1974"/>
    <w:rsid w:val="00BF3514"/>
    <w:rsid w:val="00C03797"/>
    <w:rsid w:val="00C04004"/>
    <w:rsid w:val="00C11776"/>
    <w:rsid w:val="00C1284B"/>
    <w:rsid w:val="00C1524F"/>
    <w:rsid w:val="00C422ED"/>
    <w:rsid w:val="00C4279E"/>
    <w:rsid w:val="00C42A90"/>
    <w:rsid w:val="00C45CEE"/>
    <w:rsid w:val="00C516F2"/>
    <w:rsid w:val="00C52C5E"/>
    <w:rsid w:val="00C54EFA"/>
    <w:rsid w:val="00C55E7A"/>
    <w:rsid w:val="00C5617F"/>
    <w:rsid w:val="00C747B7"/>
    <w:rsid w:val="00C83413"/>
    <w:rsid w:val="00C9361B"/>
    <w:rsid w:val="00C952E5"/>
    <w:rsid w:val="00C971F9"/>
    <w:rsid w:val="00CA79F2"/>
    <w:rsid w:val="00CC1852"/>
    <w:rsid w:val="00CD3E3D"/>
    <w:rsid w:val="00CD4167"/>
    <w:rsid w:val="00CE12AE"/>
    <w:rsid w:val="00CF5D48"/>
    <w:rsid w:val="00D16485"/>
    <w:rsid w:val="00D21108"/>
    <w:rsid w:val="00D374E3"/>
    <w:rsid w:val="00D4317E"/>
    <w:rsid w:val="00D43E52"/>
    <w:rsid w:val="00D50326"/>
    <w:rsid w:val="00D808DD"/>
    <w:rsid w:val="00D81980"/>
    <w:rsid w:val="00D9510B"/>
    <w:rsid w:val="00DD64E6"/>
    <w:rsid w:val="00E14C25"/>
    <w:rsid w:val="00E34694"/>
    <w:rsid w:val="00E3729E"/>
    <w:rsid w:val="00E40EFF"/>
    <w:rsid w:val="00E535D0"/>
    <w:rsid w:val="00E55848"/>
    <w:rsid w:val="00E57FCC"/>
    <w:rsid w:val="00E82025"/>
    <w:rsid w:val="00E839A5"/>
    <w:rsid w:val="00E94B77"/>
    <w:rsid w:val="00EB5524"/>
    <w:rsid w:val="00EC0372"/>
    <w:rsid w:val="00EC57E5"/>
    <w:rsid w:val="00ED51EF"/>
    <w:rsid w:val="00EE5D07"/>
    <w:rsid w:val="00EF042F"/>
    <w:rsid w:val="00EF67FD"/>
    <w:rsid w:val="00F120B4"/>
    <w:rsid w:val="00F14B40"/>
    <w:rsid w:val="00F20A11"/>
    <w:rsid w:val="00F22052"/>
    <w:rsid w:val="00F22491"/>
    <w:rsid w:val="00F22AAA"/>
    <w:rsid w:val="00F3064C"/>
    <w:rsid w:val="00F362AE"/>
    <w:rsid w:val="00F372FA"/>
    <w:rsid w:val="00F45470"/>
    <w:rsid w:val="00F515D5"/>
    <w:rsid w:val="00FA20D7"/>
    <w:rsid w:val="00FB5F38"/>
    <w:rsid w:val="00FC46C3"/>
    <w:rsid w:val="00FD0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75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ый список - Акцент 51"/>
    <w:basedOn w:val="a1"/>
    <w:next w:val="-5"/>
    <w:uiPriority w:val="61"/>
    <w:rsid w:val="001A7601"/>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3">
    <w:name w:val="Светлый список - Акцент 53"/>
    <w:basedOn w:val="a1"/>
    <w:uiPriority w:val="61"/>
    <w:rsid w:val="001A7601"/>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rsid w:val="001A76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1A76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601"/>
    <w:rPr>
      <w:rFonts w:ascii="Tahoma" w:hAnsi="Tahoma" w:cs="Tahoma"/>
      <w:sz w:val="16"/>
      <w:szCs w:val="16"/>
    </w:rPr>
  </w:style>
  <w:style w:type="paragraph" w:styleId="a6">
    <w:name w:val="List Paragraph"/>
    <w:basedOn w:val="a"/>
    <w:uiPriority w:val="34"/>
    <w:qFormat/>
    <w:rsid w:val="00AB01BF"/>
    <w:pPr>
      <w:ind w:left="720"/>
      <w:contextualSpacing/>
    </w:pPr>
  </w:style>
  <w:style w:type="character" w:styleId="a7">
    <w:name w:val="Hyperlink"/>
    <w:basedOn w:val="a0"/>
    <w:uiPriority w:val="99"/>
    <w:unhideWhenUsed/>
    <w:rsid w:val="002239F2"/>
    <w:rPr>
      <w:color w:val="0000FF" w:themeColor="hyperlink"/>
      <w:u w:val="single"/>
    </w:rPr>
  </w:style>
  <w:style w:type="paragraph" w:styleId="a8">
    <w:name w:val="Revision"/>
    <w:hidden/>
    <w:uiPriority w:val="99"/>
    <w:semiHidden/>
    <w:rsid w:val="006C715D"/>
    <w:pPr>
      <w:spacing w:after="0" w:line="240" w:lineRule="auto"/>
    </w:pPr>
  </w:style>
  <w:style w:type="character" w:styleId="a9">
    <w:name w:val="annotation reference"/>
    <w:basedOn w:val="a0"/>
    <w:uiPriority w:val="99"/>
    <w:semiHidden/>
    <w:unhideWhenUsed/>
    <w:rsid w:val="00B00A3E"/>
    <w:rPr>
      <w:sz w:val="16"/>
      <w:szCs w:val="16"/>
    </w:rPr>
  </w:style>
  <w:style w:type="paragraph" w:styleId="aa">
    <w:name w:val="annotation text"/>
    <w:basedOn w:val="a"/>
    <w:link w:val="ab"/>
    <w:uiPriority w:val="99"/>
    <w:semiHidden/>
    <w:unhideWhenUsed/>
    <w:rsid w:val="00B00A3E"/>
    <w:pPr>
      <w:spacing w:line="240" w:lineRule="auto"/>
    </w:pPr>
    <w:rPr>
      <w:sz w:val="20"/>
      <w:szCs w:val="20"/>
    </w:rPr>
  </w:style>
  <w:style w:type="character" w:customStyle="1" w:styleId="ab">
    <w:name w:val="Текст примечания Знак"/>
    <w:basedOn w:val="a0"/>
    <w:link w:val="aa"/>
    <w:uiPriority w:val="99"/>
    <w:semiHidden/>
    <w:rsid w:val="00B00A3E"/>
    <w:rPr>
      <w:sz w:val="20"/>
      <w:szCs w:val="20"/>
    </w:rPr>
  </w:style>
  <w:style w:type="paragraph" w:styleId="ac">
    <w:name w:val="annotation subject"/>
    <w:basedOn w:val="aa"/>
    <w:next w:val="aa"/>
    <w:link w:val="ad"/>
    <w:uiPriority w:val="99"/>
    <w:semiHidden/>
    <w:unhideWhenUsed/>
    <w:rsid w:val="00B00A3E"/>
    <w:rPr>
      <w:b/>
      <w:bCs/>
    </w:rPr>
  </w:style>
  <w:style w:type="character" w:customStyle="1" w:styleId="ad">
    <w:name w:val="Тема примечания Знак"/>
    <w:basedOn w:val="ab"/>
    <w:link w:val="ac"/>
    <w:uiPriority w:val="99"/>
    <w:semiHidden/>
    <w:rsid w:val="00B00A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ый список - Акцент 51"/>
    <w:basedOn w:val="a1"/>
    <w:next w:val="-5"/>
    <w:uiPriority w:val="61"/>
    <w:rsid w:val="001A7601"/>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3">
    <w:name w:val="Светлый список - Акцент 53"/>
    <w:basedOn w:val="a1"/>
    <w:uiPriority w:val="61"/>
    <w:rsid w:val="001A7601"/>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rsid w:val="001A76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1A76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601"/>
    <w:rPr>
      <w:rFonts w:ascii="Tahoma" w:hAnsi="Tahoma" w:cs="Tahoma"/>
      <w:sz w:val="16"/>
      <w:szCs w:val="16"/>
    </w:rPr>
  </w:style>
  <w:style w:type="paragraph" w:styleId="a6">
    <w:name w:val="List Paragraph"/>
    <w:basedOn w:val="a"/>
    <w:uiPriority w:val="34"/>
    <w:qFormat/>
    <w:rsid w:val="00AB01BF"/>
    <w:pPr>
      <w:ind w:left="720"/>
      <w:contextualSpacing/>
    </w:pPr>
  </w:style>
  <w:style w:type="character" w:styleId="a7">
    <w:name w:val="Hyperlink"/>
    <w:basedOn w:val="a0"/>
    <w:uiPriority w:val="99"/>
    <w:unhideWhenUsed/>
    <w:rsid w:val="002239F2"/>
    <w:rPr>
      <w:color w:val="0000FF" w:themeColor="hyperlink"/>
      <w:u w:val="single"/>
    </w:rPr>
  </w:style>
  <w:style w:type="paragraph" w:styleId="a8">
    <w:name w:val="Revision"/>
    <w:hidden/>
    <w:uiPriority w:val="99"/>
    <w:semiHidden/>
    <w:rsid w:val="006C715D"/>
    <w:pPr>
      <w:spacing w:after="0" w:line="240" w:lineRule="auto"/>
    </w:pPr>
  </w:style>
  <w:style w:type="character" w:styleId="a9">
    <w:name w:val="annotation reference"/>
    <w:basedOn w:val="a0"/>
    <w:uiPriority w:val="99"/>
    <w:semiHidden/>
    <w:unhideWhenUsed/>
    <w:rsid w:val="00B00A3E"/>
    <w:rPr>
      <w:sz w:val="16"/>
      <w:szCs w:val="16"/>
    </w:rPr>
  </w:style>
  <w:style w:type="paragraph" w:styleId="aa">
    <w:name w:val="annotation text"/>
    <w:basedOn w:val="a"/>
    <w:link w:val="ab"/>
    <w:uiPriority w:val="99"/>
    <w:semiHidden/>
    <w:unhideWhenUsed/>
    <w:rsid w:val="00B00A3E"/>
    <w:pPr>
      <w:spacing w:line="240" w:lineRule="auto"/>
    </w:pPr>
    <w:rPr>
      <w:sz w:val="20"/>
      <w:szCs w:val="20"/>
    </w:rPr>
  </w:style>
  <w:style w:type="character" w:customStyle="1" w:styleId="ab">
    <w:name w:val="Текст примечания Знак"/>
    <w:basedOn w:val="a0"/>
    <w:link w:val="aa"/>
    <w:uiPriority w:val="99"/>
    <w:semiHidden/>
    <w:rsid w:val="00B00A3E"/>
    <w:rPr>
      <w:sz w:val="20"/>
      <w:szCs w:val="20"/>
    </w:rPr>
  </w:style>
  <w:style w:type="paragraph" w:styleId="ac">
    <w:name w:val="annotation subject"/>
    <w:basedOn w:val="aa"/>
    <w:next w:val="aa"/>
    <w:link w:val="ad"/>
    <w:uiPriority w:val="99"/>
    <w:semiHidden/>
    <w:unhideWhenUsed/>
    <w:rsid w:val="00B00A3E"/>
    <w:rPr>
      <w:b/>
      <w:bCs/>
    </w:rPr>
  </w:style>
  <w:style w:type="character" w:customStyle="1" w:styleId="ad">
    <w:name w:val="Тема примечания Знак"/>
    <w:basedOn w:val="ab"/>
    <w:link w:val="ac"/>
    <w:uiPriority w:val="99"/>
    <w:semiHidden/>
    <w:rsid w:val="00B00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0014">
      <w:bodyDiv w:val="1"/>
      <w:marLeft w:val="0"/>
      <w:marRight w:val="0"/>
      <w:marTop w:val="0"/>
      <w:marBottom w:val="0"/>
      <w:divBdr>
        <w:top w:val="none" w:sz="0" w:space="0" w:color="auto"/>
        <w:left w:val="none" w:sz="0" w:space="0" w:color="auto"/>
        <w:bottom w:val="none" w:sz="0" w:space="0" w:color="auto"/>
        <w:right w:val="none" w:sz="0" w:space="0" w:color="auto"/>
      </w:divBdr>
    </w:div>
    <w:div w:id="12612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1.bin"/><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hyperlink" Target="http://www.m4eg.e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A2FD-2B98-4643-9A13-C95A7F95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3310</Words>
  <Characters>1888</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Slabinska</dc:creator>
  <cp:lastModifiedBy>Svitlana Slabinska</cp:lastModifiedBy>
  <cp:revision>101</cp:revision>
  <cp:lastPrinted>2018-06-26T20:39:00Z</cp:lastPrinted>
  <dcterms:created xsi:type="dcterms:W3CDTF">2018-08-15T13:29:00Z</dcterms:created>
  <dcterms:modified xsi:type="dcterms:W3CDTF">2018-08-16T19:54:00Z</dcterms:modified>
</cp:coreProperties>
</file>